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drawings/drawing1.xml" ContentType="application/vnd.openxmlformats-officedocument.drawingml.chartshapes+xml"/>
  <Override PartName="/word/drawings/drawing2.xml" ContentType="application/vnd.openxmlformats-officedocument.drawingml.chartshapes+xml"/>
  <Override PartName="/word/charts/chart17.xml" ContentType="application/vnd.openxmlformats-officedocument.drawingml.chart+xml"/>
  <Override PartName="/word/charts/chart18.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3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Default Extension="gif" ContentType="image/gif"/>
  <Override PartName="/word/charts/chart24.xml" ContentType="application/vnd.openxmlformats-officedocument.drawingml.chart+xml"/>
  <Override PartName="/word/charts/chart25.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30.xml" ContentType="application/vnd.openxmlformats-officedocument.drawingml.chart+xml"/>
  <Override PartName="/docProps/core.xml" ContentType="application/vnd.openxmlformats-package.core-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99E" w:rsidRDefault="008E27E1">
      <w:pPr>
        <w:jc w:val="left"/>
        <w:rPr>
          <w:b/>
          <w:sz w:val="32"/>
          <w:szCs w:val="32"/>
        </w:rPr>
      </w:pPr>
      <w:r>
        <w:rPr>
          <w:b/>
          <w:sz w:val="32"/>
          <w:szCs w:val="32"/>
        </w:rPr>
        <w:t>Research performance in Georgia: analysis and recommendations</w:t>
      </w:r>
    </w:p>
    <w:p w:rsidR="0020499E" w:rsidRDefault="0020499E">
      <w:pPr>
        <w:jc w:val="left"/>
      </w:pPr>
    </w:p>
    <w:p w:rsidR="0020499E" w:rsidRDefault="0020499E">
      <w:pPr>
        <w:jc w:val="left"/>
      </w:pPr>
    </w:p>
    <w:p w:rsidR="0020499E" w:rsidRDefault="008E27E1">
      <w:pPr>
        <w:jc w:val="left"/>
        <w:rPr>
          <w:sz w:val="24"/>
          <w:szCs w:val="24"/>
        </w:rPr>
      </w:pPr>
      <w:r>
        <w:rPr>
          <w:sz w:val="24"/>
          <w:szCs w:val="24"/>
        </w:rPr>
        <w:t>June 2, 2014</w:t>
      </w:r>
    </w:p>
    <w:p w:rsidR="0020499E" w:rsidRDefault="0020499E">
      <w:pPr>
        <w:jc w:val="left"/>
        <w:rPr>
          <w:sz w:val="24"/>
          <w:szCs w:val="24"/>
        </w:rPr>
      </w:pPr>
    </w:p>
    <w:p w:rsidR="0020499E" w:rsidRDefault="008E27E1">
      <w:pPr>
        <w:jc w:val="left"/>
        <w:rPr>
          <w:b/>
          <w:sz w:val="24"/>
          <w:szCs w:val="24"/>
        </w:rPr>
      </w:pPr>
      <w:r>
        <w:rPr>
          <w:b/>
          <w:sz w:val="24"/>
          <w:szCs w:val="24"/>
        </w:rPr>
        <w:t>Tamar Bregvadze</w:t>
      </w:r>
    </w:p>
    <w:p w:rsidR="0020499E" w:rsidRDefault="008E27E1">
      <w:pPr>
        <w:jc w:val="left"/>
        <w:rPr>
          <w:b/>
        </w:rPr>
      </w:pPr>
      <w:r>
        <w:rPr>
          <w:b/>
          <w:sz w:val="24"/>
          <w:szCs w:val="24"/>
        </w:rPr>
        <w:t>Karim Medjad</w:t>
      </w:r>
      <w:r>
        <w:rPr>
          <w:b/>
        </w:rPr>
        <w:br w:type="page"/>
      </w:r>
    </w:p>
    <w:p w:rsidR="0020499E" w:rsidRDefault="0020499E"/>
    <w:sdt>
      <w:sdtPr>
        <w:rPr>
          <w:rFonts w:cs="Times New Roman"/>
          <w:bCs/>
        </w:rPr>
        <w:id w:val="301436219"/>
        <w:docPartObj>
          <w:docPartGallery w:val="Table of Contents"/>
          <w:docPartUnique/>
        </w:docPartObj>
      </w:sdtPr>
      <w:sdtEndPr>
        <w:rPr>
          <w:rFonts w:cs="Scala"/>
          <w:bCs w:val="0"/>
          <w:noProof/>
        </w:rPr>
      </w:sdtEndPr>
      <w:sdtContent>
        <w:p w:rsidR="0020499E" w:rsidRDefault="008E27E1">
          <w:pPr>
            <w:rPr>
              <w:b/>
              <w:sz w:val="32"/>
              <w:szCs w:val="32"/>
            </w:rPr>
          </w:pPr>
          <w:r>
            <w:rPr>
              <w:b/>
              <w:sz w:val="32"/>
              <w:szCs w:val="32"/>
            </w:rPr>
            <w:t>Table of contents</w:t>
          </w:r>
        </w:p>
        <w:p w:rsidR="0020499E" w:rsidRDefault="0020499E">
          <w:pPr>
            <w:rPr>
              <w:lang w:eastAsia="ja-JP"/>
            </w:rPr>
          </w:pPr>
        </w:p>
        <w:p w:rsidR="0020499E" w:rsidRDefault="0020499E">
          <w:pPr>
            <w:pStyle w:val="TOC1"/>
            <w:tabs>
              <w:tab w:val="right" w:leader="dot" w:pos="9771"/>
            </w:tabs>
            <w:rPr>
              <w:rFonts w:asciiTheme="minorHAnsi" w:eastAsiaTheme="minorEastAsia" w:hAnsiTheme="minorHAnsi" w:cstheme="minorBidi"/>
              <w:noProof/>
              <w:sz w:val="22"/>
              <w:szCs w:val="22"/>
              <w:lang w:val="fr-FR" w:eastAsia="fr-FR"/>
            </w:rPr>
          </w:pPr>
          <w:r>
            <w:fldChar w:fldCharType="begin"/>
          </w:r>
          <w:r w:rsidR="008E27E1">
            <w:instrText xml:space="preserve"> TOC \o "1-3" \h \z \u </w:instrText>
          </w:r>
          <w:r>
            <w:fldChar w:fldCharType="separate"/>
          </w:r>
          <w:hyperlink w:anchor="_Toc389396888" w:history="1">
            <w:r w:rsidR="008E27E1">
              <w:rPr>
                <w:rStyle w:val="Hyperlink"/>
                <w:noProof/>
              </w:rPr>
              <w:t>LIST OF ACRONYMS</w:t>
            </w:r>
            <w:r w:rsidR="008E27E1">
              <w:rPr>
                <w:noProof/>
                <w:webHidden/>
              </w:rPr>
              <w:tab/>
            </w:r>
            <w:r>
              <w:rPr>
                <w:noProof/>
                <w:webHidden/>
              </w:rPr>
              <w:fldChar w:fldCharType="begin"/>
            </w:r>
            <w:r w:rsidR="008E27E1">
              <w:rPr>
                <w:noProof/>
                <w:webHidden/>
              </w:rPr>
              <w:instrText xml:space="preserve"> PAGEREF _Toc389396888 \h </w:instrText>
            </w:r>
            <w:r>
              <w:rPr>
                <w:noProof/>
                <w:webHidden/>
              </w:rPr>
            </w:r>
            <w:r>
              <w:rPr>
                <w:noProof/>
                <w:webHidden/>
              </w:rPr>
              <w:fldChar w:fldCharType="separate"/>
            </w:r>
            <w:r w:rsidR="008E27E1">
              <w:rPr>
                <w:noProof/>
                <w:webHidden/>
              </w:rPr>
              <w:t>4</w:t>
            </w:r>
            <w:r>
              <w:rPr>
                <w:noProof/>
                <w:webHidden/>
              </w:rPr>
              <w:fldChar w:fldCharType="end"/>
            </w:r>
          </w:hyperlink>
        </w:p>
        <w:p w:rsidR="0020499E" w:rsidRDefault="0020499E">
          <w:pPr>
            <w:pStyle w:val="TOC1"/>
            <w:tabs>
              <w:tab w:val="right" w:leader="dot" w:pos="9771"/>
            </w:tabs>
            <w:rPr>
              <w:rFonts w:asciiTheme="minorHAnsi" w:eastAsiaTheme="minorEastAsia" w:hAnsiTheme="minorHAnsi" w:cstheme="minorBidi"/>
              <w:noProof/>
              <w:sz w:val="22"/>
              <w:szCs w:val="22"/>
              <w:lang w:val="fr-FR" w:eastAsia="fr-FR"/>
            </w:rPr>
          </w:pPr>
          <w:hyperlink w:anchor="_Toc389396889" w:history="1">
            <w:r w:rsidR="008E27E1">
              <w:rPr>
                <w:rStyle w:val="Hyperlink"/>
                <w:noProof/>
              </w:rPr>
              <w:t>EXECUTIVE SUMMARY</w:t>
            </w:r>
            <w:r w:rsidR="008E27E1">
              <w:rPr>
                <w:noProof/>
                <w:webHidden/>
              </w:rPr>
              <w:tab/>
            </w:r>
            <w:r>
              <w:rPr>
                <w:noProof/>
                <w:webHidden/>
              </w:rPr>
              <w:fldChar w:fldCharType="begin"/>
            </w:r>
            <w:r w:rsidR="008E27E1">
              <w:rPr>
                <w:noProof/>
                <w:webHidden/>
              </w:rPr>
              <w:instrText xml:space="preserve"> PAGEREF _Toc389396889 \h </w:instrText>
            </w:r>
            <w:r>
              <w:rPr>
                <w:noProof/>
                <w:webHidden/>
              </w:rPr>
            </w:r>
            <w:r>
              <w:rPr>
                <w:noProof/>
                <w:webHidden/>
              </w:rPr>
              <w:fldChar w:fldCharType="separate"/>
            </w:r>
            <w:r w:rsidR="008E27E1">
              <w:rPr>
                <w:noProof/>
                <w:webHidden/>
              </w:rPr>
              <w:t>5</w:t>
            </w:r>
            <w:r>
              <w:rPr>
                <w:noProof/>
                <w:webHidden/>
              </w:rPr>
              <w:fldChar w:fldCharType="end"/>
            </w:r>
          </w:hyperlink>
        </w:p>
        <w:p w:rsidR="0020499E" w:rsidRDefault="0020499E">
          <w:pPr>
            <w:pStyle w:val="TOC1"/>
            <w:tabs>
              <w:tab w:val="right" w:leader="dot" w:pos="9771"/>
            </w:tabs>
            <w:rPr>
              <w:rFonts w:asciiTheme="minorHAnsi" w:eastAsiaTheme="minorEastAsia" w:hAnsiTheme="minorHAnsi" w:cstheme="minorBidi"/>
              <w:noProof/>
              <w:sz w:val="22"/>
              <w:szCs w:val="22"/>
              <w:lang w:val="fr-FR" w:eastAsia="fr-FR"/>
            </w:rPr>
          </w:pPr>
          <w:hyperlink w:anchor="_Toc389396890" w:history="1">
            <w:r w:rsidR="008E27E1">
              <w:rPr>
                <w:rStyle w:val="Hyperlink"/>
                <w:noProof/>
              </w:rPr>
              <w:t>INTRODUCTION</w:t>
            </w:r>
            <w:r w:rsidR="008E27E1">
              <w:rPr>
                <w:noProof/>
                <w:webHidden/>
              </w:rPr>
              <w:tab/>
            </w:r>
            <w:r>
              <w:rPr>
                <w:noProof/>
                <w:webHidden/>
              </w:rPr>
              <w:fldChar w:fldCharType="begin"/>
            </w:r>
            <w:r w:rsidR="008E27E1">
              <w:rPr>
                <w:noProof/>
                <w:webHidden/>
              </w:rPr>
              <w:instrText xml:space="preserve"> PA</w:instrText>
            </w:r>
            <w:r w:rsidR="008E27E1">
              <w:rPr>
                <w:noProof/>
                <w:webHidden/>
              </w:rPr>
              <w:instrText xml:space="preserve">GEREF _Toc389396890 \h </w:instrText>
            </w:r>
            <w:r>
              <w:rPr>
                <w:noProof/>
                <w:webHidden/>
              </w:rPr>
            </w:r>
            <w:r>
              <w:rPr>
                <w:noProof/>
                <w:webHidden/>
              </w:rPr>
              <w:fldChar w:fldCharType="separate"/>
            </w:r>
            <w:r w:rsidR="008E27E1">
              <w:rPr>
                <w:noProof/>
                <w:webHidden/>
              </w:rPr>
              <w:t>6</w:t>
            </w:r>
            <w:r>
              <w:rPr>
                <w:noProof/>
                <w:webHidden/>
              </w:rPr>
              <w:fldChar w:fldCharType="end"/>
            </w:r>
          </w:hyperlink>
        </w:p>
        <w:p w:rsidR="0020499E" w:rsidRDefault="0020499E">
          <w:pPr>
            <w:pStyle w:val="TOC1"/>
            <w:tabs>
              <w:tab w:val="right" w:leader="dot" w:pos="9771"/>
            </w:tabs>
            <w:rPr>
              <w:rFonts w:asciiTheme="minorHAnsi" w:eastAsiaTheme="minorEastAsia" w:hAnsiTheme="minorHAnsi" w:cstheme="minorBidi"/>
              <w:noProof/>
              <w:sz w:val="22"/>
              <w:szCs w:val="22"/>
              <w:lang w:val="fr-FR" w:eastAsia="fr-FR"/>
            </w:rPr>
          </w:pPr>
          <w:hyperlink w:anchor="_Toc389396891" w:history="1">
            <w:r w:rsidR="008E27E1">
              <w:rPr>
                <w:rStyle w:val="Hyperlink"/>
                <w:noProof/>
              </w:rPr>
              <w:t>1. BIBLIOMETRIC SNAPSHOT OF RESEARCH OUTPUT AND PERFORMANCE IN GEORGIA</w:t>
            </w:r>
            <w:r w:rsidR="008E27E1">
              <w:rPr>
                <w:noProof/>
                <w:webHidden/>
              </w:rPr>
              <w:tab/>
            </w:r>
            <w:r>
              <w:rPr>
                <w:noProof/>
                <w:webHidden/>
              </w:rPr>
              <w:fldChar w:fldCharType="begin"/>
            </w:r>
            <w:r w:rsidR="008E27E1">
              <w:rPr>
                <w:noProof/>
                <w:webHidden/>
              </w:rPr>
              <w:instrText xml:space="preserve"> PAGEREF _Toc389396891 \h </w:instrText>
            </w:r>
            <w:r>
              <w:rPr>
                <w:noProof/>
                <w:webHidden/>
              </w:rPr>
            </w:r>
            <w:r>
              <w:rPr>
                <w:noProof/>
                <w:webHidden/>
              </w:rPr>
              <w:fldChar w:fldCharType="separate"/>
            </w:r>
            <w:r w:rsidR="008E27E1">
              <w:rPr>
                <w:noProof/>
                <w:webHidden/>
              </w:rPr>
              <w:t>7</w:t>
            </w:r>
            <w:r>
              <w:rPr>
                <w:noProof/>
                <w:webHidden/>
              </w:rPr>
              <w:fldChar w:fldCharType="end"/>
            </w:r>
          </w:hyperlink>
        </w:p>
        <w:p w:rsidR="0020499E" w:rsidRDefault="0020499E">
          <w:pPr>
            <w:pStyle w:val="TOC2"/>
            <w:tabs>
              <w:tab w:val="right" w:leader="dot" w:pos="9771"/>
            </w:tabs>
            <w:rPr>
              <w:rFonts w:asciiTheme="minorHAnsi" w:eastAsiaTheme="minorEastAsia" w:hAnsiTheme="minorHAnsi" w:cstheme="minorBidi"/>
              <w:noProof/>
              <w:sz w:val="22"/>
              <w:szCs w:val="22"/>
              <w:lang w:val="fr-FR" w:eastAsia="fr-FR"/>
            </w:rPr>
          </w:pPr>
          <w:hyperlink w:anchor="_Toc389396892" w:history="1">
            <w:r w:rsidR="008E27E1">
              <w:rPr>
                <w:rStyle w:val="Hyperlink"/>
                <w:noProof/>
              </w:rPr>
              <w:t>1.1 Methodological considerations</w:t>
            </w:r>
            <w:r w:rsidR="008E27E1">
              <w:rPr>
                <w:noProof/>
                <w:webHidden/>
              </w:rPr>
              <w:tab/>
            </w:r>
            <w:r>
              <w:rPr>
                <w:noProof/>
                <w:webHidden/>
              </w:rPr>
              <w:fldChar w:fldCharType="begin"/>
            </w:r>
            <w:r w:rsidR="008E27E1">
              <w:rPr>
                <w:noProof/>
                <w:webHidden/>
              </w:rPr>
              <w:instrText xml:space="preserve"> PAGEREF _Toc389396892 \h </w:instrText>
            </w:r>
            <w:r>
              <w:rPr>
                <w:noProof/>
                <w:webHidden/>
              </w:rPr>
            </w:r>
            <w:r>
              <w:rPr>
                <w:noProof/>
                <w:webHidden/>
              </w:rPr>
              <w:fldChar w:fldCharType="separate"/>
            </w:r>
            <w:r w:rsidR="008E27E1">
              <w:rPr>
                <w:noProof/>
                <w:webHidden/>
              </w:rPr>
              <w:t>7</w:t>
            </w:r>
            <w:r>
              <w:rPr>
                <w:noProof/>
                <w:webHidden/>
              </w:rPr>
              <w:fldChar w:fldCharType="end"/>
            </w:r>
          </w:hyperlink>
        </w:p>
        <w:p w:rsidR="0020499E" w:rsidRDefault="0020499E">
          <w:pPr>
            <w:pStyle w:val="TOC3"/>
            <w:tabs>
              <w:tab w:val="right" w:leader="dot" w:pos="9771"/>
            </w:tabs>
            <w:rPr>
              <w:rFonts w:asciiTheme="minorHAnsi" w:eastAsiaTheme="minorEastAsia" w:hAnsiTheme="minorHAnsi" w:cstheme="minorBidi"/>
              <w:noProof/>
              <w:sz w:val="22"/>
              <w:szCs w:val="22"/>
              <w:lang w:val="fr-FR" w:eastAsia="fr-FR"/>
            </w:rPr>
          </w:pPr>
          <w:hyperlink w:anchor="_Toc389396893" w:history="1">
            <w:r w:rsidR="008E27E1">
              <w:rPr>
                <w:rStyle w:val="Hyperlink"/>
                <w:noProof/>
              </w:rPr>
              <w:t>1.1.1 Availability of data</w:t>
            </w:r>
            <w:r w:rsidR="008E27E1">
              <w:rPr>
                <w:noProof/>
                <w:webHidden/>
              </w:rPr>
              <w:tab/>
            </w:r>
            <w:r>
              <w:rPr>
                <w:noProof/>
                <w:webHidden/>
              </w:rPr>
              <w:fldChar w:fldCharType="begin"/>
            </w:r>
            <w:r w:rsidR="008E27E1">
              <w:rPr>
                <w:noProof/>
                <w:webHidden/>
              </w:rPr>
              <w:instrText xml:space="preserve"> PAGEREF _Toc389396893 \h </w:instrText>
            </w:r>
            <w:r>
              <w:rPr>
                <w:noProof/>
                <w:webHidden/>
              </w:rPr>
            </w:r>
            <w:r>
              <w:rPr>
                <w:noProof/>
                <w:webHidden/>
              </w:rPr>
              <w:fldChar w:fldCharType="separate"/>
            </w:r>
            <w:r w:rsidR="008E27E1">
              <w:rPr>
                <w:noProof/>
                <w:webHidden/>
              </w:rPr>
              <w:t>7</w:t>
            </w:r>
            <w:r>
              <w:rPr>
                <w:noProof/>
                <w:webHidden/>
              </w:rPr>
              <w:fldChar w:fldCharType="end"/>
            </w:r>
          </w:hyperlink>
        </w:p>
        <w:p w:rsidR="0020499E" w:rsidRDefault="0020499E">
          <w:pPr>
            <w:pStyle w:val="TOC3"/>
            <w:tabs>
              <w:tab w:val="right" w:leader="dot" w:pos="9771"/>
            </w:tabs>
            <w:rPr>
              <w:rFonts w:asciiTheme="minorHAnsi" w:eastAsiaTheme="minorEastAsia" w:hAnsiTheme="minorHAnsi" w:cstheme="minorBidi"/>
              <w:noProof/>
              <w:sz w:val="22"/>
              <w:szCs w:val="22"/>
              <w:lang w:val="fr-FR" w:eastAsia="fr-FR"/>
            </w:rPr>
          </w:pPr>
          <w:hyperlink w:anchor="_Toc389396894" w:history="1">
            <w:r w:rsidR="008E27E1">
              <w:rPr>
                <w:rStyle w:val="Hyperlink"/>
                <w:noProof/>
              </w:rPr>
              <w:t>1.1.2 Main biases</w:t>
            </w:r>
            <w:r w:rsidR="008E27E1">
              <w:rPr>
                <w:noProof/>
                <w:webHidden/>
              </w:rPr>
              <w:tab/>
            </w:r>
            <w:r>
              <w:rPr>
                <w:noProof/>
                <w:webHidden/>
              </w:rPr>
              <w:fldChar w:fldCharType="begin"/>
            </w:r>
            <w:r w:rsidR="008E27E1">
              <w:rPr>
                <w:noProof/>
                <w:webHidden/>
              </w:rPr>
              <w:instrText xml:space="preserve"> PAGEREF _Toc389396894 \h </w:instrText>
            </w:r>
            <w:r>
              <w:rPr>
                <w:noProof/>
                <w:webHidden/>
              </w:rPr>
            </w:r>
            <w:r>
              <w:rPr>
                <w:noProof/>
                <w:webHidden/>
              </w:rPr>
              <w:fldChar w:fldCharType="separate"/>
            </w:r>
            <w:r w:rsidR="008E27E1">
              <w:rPr>
                <w:noProof/>
                <w:webHidden/>
              </w:rPr>
              <w:t>8</w:t>
            </w:r>
            <w:r>
              <w:rPr>
                <w:noProof/>
                <w:webHidden/>
              </w:rPr>
              <w:fldChar w:fldCharType="end"/>
            </w:r>
          </w:hyperlink>
        </w:p>
        <w:p w:rsidR="0020499E" w:rsidRDefault="0020499E">
          <w:pPr>
            <w:pStyle w:val="TOC2"/>
            <w:tabs>
              <w:tab w:val="right" w:leader="dot" w:pos="9771"/>
            </w:tabs>
            <w:rPr>
              <w:rFonts w:asciiTheme="minorHAnsi" w:eastAsiaTheme="minorEastAsia" w:hAnsiTheme="minorHAnsi" w:cstheme="minorBidi"/>
              <w:noProof/>
              <w:sz w:val="22"/>
              <w:szCs w:val="22"/>
              <w:lang w:val="fr-FR" w:eastAsia="fr-FR"/>
            </w:rPr>
          </w:pPr>
          <w:hyperlink w:anchor="_Toc389396895" w:history="1">
            <w:r w:rsidR="008E27E1">
              <w:rPr>
                <w:rStyle w:val="Hyperlink"/>
                <w:noProof/>
              </w:rPr>
              <w:t>1.2 Total Production</w:t>
            </w:r>
            <w:r w:rsidR="008E27E1">
              <w:rPr>
                <w:noProof/>
                <w:webHidden/>
              </w:rPr>
              <w:tab/>
            </w:r>
            <w:r>
              <w:rPr>
                <w:noProof/>
                <w:webHidden/>
              </w:rPr>
              <w:fldChar w:fldCharType="begin"/>
            </w:r>
            <w:r w:rsidR="008E27E1">
              <w:rPr>
                <w:noProof/>
                <w:webHidden/>
              </w:rPr>
              <w:instrText xml:space="preserve"> PAGEREF _Toc389396895 \h </w:instrText>
            </w:r>
            <w:r>
              <w:rPr>
                <w:noProof/>
                <w:webHidden/>
              </w:rPr>
            </w:r>
            <w:r>
              <w:rPr>
                <w:noProof/>
                <w:webHidden/>
              </w:rPr>
              <w:fldChar w:fldCharType="separate"/>
            </w:r>
            <w:r w:rsidR="008E27E1">
              <w:rPr>
                <w:noProof/>
                <w:webHidden/>
              </w:rPr>
              <w:t>8</w:t>
            </w:r>
            <w:r>
              <w:rPr>
                <w:noProof/>
                <w:webHidden/>
              </w:rPr>
              <w:fldChar w:fldCharType="end"/>
            </w:r>
          </w:hyperlink>
        </w:p>
        <w:p w:rsidR="0020499E" w:rsidRDefault="0020499E">
          <w:pPr>
            <w:pStyle w:val="TOC3"/>
            <w:tabs>
              <w:tab w:val="right" w:leader="dot" w:pos="9771"/>
            </w:tabs>
            <w:rPr>
              <w:rFonts w:asciiTheme="minorHAnsi" w:eastAsiaTheme="minorEastAsia" w:hAnsiTheme="minorHAnsi" w:cstheme="minorBidi"/>
              <w:noProof/>
              <w:sz w:val="22"/>
              <w:szCs w:val="22"/>
              <w:lang w:val="fr-FR" w:eastAsia="fr-FR"/>
            </w:rPr>
          </w:pPr>
          <w:hyperlink w:anchor="_Toc389396896" w:history="1">
            <w:r w:rsidR="008E27E1">
              <w:rPr>
                <w:rStyle w:val="Hyperlink"/>
                <w:noProof/>
              </w:rPr>
              <w:t>1.2.1 Key trends</w:t>
            </w:r>
            <w:r w:rsidR="008E27E1">
              <w:rPr>
                <w:noProof/>
                <w:webHidden/>
              </w:rPr>
              <w:tab/>
            </w:r>
            <w:r>
              <w:rPr>
                <w:noProof/>
                <w:webHidden/>
              </w:rPr>
              <w:fldChar w:fldCharType="begin"/>
            </w:r>
            <w:r w:rsidR="008E27E1">
              <w:rPr>
                <w:noProof/>
                <w:webHidden/>
              </w:rPr>
              <w:instrText xml:space="preserve"> PAGEREF _Toc389396896 \h </w:instrText>
            </w:r>
            <w:r>
              <w:rPr>
                <w:noProof/>
                <w:webHidden/>
              </w:rPr>
            </w:r>
            <w:r>
              <w:rPr>
                <w:noProof/>
                <w:webHidden/>
              </w:rPr>
              <w:fldChar w:fldCharType="separate"/>
            </w:r>
            <w:r w:rsidR="008E27E1">
              <w:rPr>
                <w:noProof/>
                <w:webHidden/>
              </w:rPr>
              <w:t>9</w:t>
            </w:r>
            <w:r>
              <w:rPr>
                <w:noProof/>
                <w:webHidden/>
              </w:rPr>
              <w:fldChar w:fldCharType="end"/>
            </w:r>
          </w:hyperlink>
        </w:p>
        <w:p w:rsidR="0020499E" w:rsidRDefault="0020499E">
          <w:pPr>
            <w:pStyle w:val="TOC3"/>
            <w:tabs>
              <w:tab w:val="right" w:leader="dot" w:pos="9771"/>
            </w:tabs>
            <w:rPr>
              <w:rFonts w:asciiTheme="minorHAnsi" w:eastAsiaTheme="minorEastAsia" w:hAnsiTheme="minorHAnsi" w:cstheme="minorBidi"/>
              <w:noProof/>
              <w:sz w:val="22"/>
              <w:szCs w:val="22"/>
              <w:lang w:val="fr-FR" w:eastAsia="fr-FR"/>
            </w:rPr>
          </w:pPr>
          <w:hyperlink w:anchor="_Toc389396897" w:history="1">
            <w:r w:rsidR="008E27E1">
              <w:rPr>
                <w:rStyle w:val="Hyperlink"/>
                <w:noProof/>
              </w:rPr>
              <w:t>1.2.2 Total Production Efficiency</w:t>
            </w:r>
            <w:r w:rsidR="008E27E1">
              <w:rPr>
                <w:noProof/>
                <w:webHidden/>
              </w:rPr>
              <w:tab/>
            </w:r>
            <w:r>
              <w:rPr>
                <w:noProof/>
                <w:webHidden/>
              </w:rPr>
              <w:fldChar w:fldCharType="begin"/>
            </w:r>
            <w:r w:rsidR="008E27E1">
              <w:rPr>
                <w:noProof/>
                <w:webHidden/>
              </w:rPr>
              <w:instrText xml:space="preserve"> PAGEREF _Toc389396897 \h </w:instrText>
            </w:r>
            <w:r>
              <w:rPr>
                <w:noProof/>
                <w:webHidden/>
              </w:rPr>
            </w:r>
            <w:r>
              <w:rPr>
                <w:noProof/>
                <w:webHidden/>
              </w:rPr>
              <w:fldChar w:fldCharType="separate"/>
            </w:r>
            <w:r w:rsidR="008E27E1">
              <w:rPr>
                <w:noProof/>
                <w:webHidden/>
              </w:rPr>
              <w:t>10</w:t>
            </w:r>
            <w:r>
              <w:rPr>
                <w:noProof/>
                <w:webHidden/>
              </w:rPr>
              <w:fldChar w:fldCharType="end"/>
            </w:r>
          </w:hyperlink>
        </w:p>
        <w:p w:rsidR="0020499E" w:rsidRDefault="0020499E">
          <w:pPr>
            <w:pStyle w:val="TOC2"/>
            <w:tabs>
              <w:tab w:val="right" w:leader="dot" w:pos="9771"/>
            </w:tabs>
            <w:rPr>
              <w:rFonts w:asciiTheme="minorHAnsi" w:eastAsiaTheme="minorEastAsia" w:hAnsiTheme="minorHAnsi" w:cstheme="minorBidi"/>
              <w:noProof/>
              <w:sz w:val="22"/>
              <w:szCs w:val="22"/>
              <w:lang w:val="fr-FR" w:eastAsia="fr-FR"/>
            </w:rPr>
          </w:pPr>
          <w:hyperlink w:anchor="_Toc389396898" w:history="1">
            <w:r w:rsidR="008E27E1">
              <w:rPr>
                <w:rStyle w:val="Hyperlink"/>
                <w:noProof/>
              </w:rPr>
              <w:t>1.3 Publication Profiles (by fields of science)</w:t>
            </w:r>
            <w:r w:rsidR="008E27E1">
              <w:rPr>
                <w:noProof/>
                <w:webHidden/>
              </w:rPr>
              <w:tab/>
            </w:r>
            <w:r>
              <w:rPr>
                <w:noProof/>
                <w:webHidden/>
              </w:rPr>
              <w:fldChar w:fldCharType="begin"/>
            </w:r>
            <w:r w:rsidR="008E27E1">
              <w:rPr>
                <w:noProof/>
                <w:webHidden/>
              </w:rPr>
              <w:instrText xml:space="preserve"> PAGEREF _Toc389396898 \h </w:instrText>
            </w:r>
            <w:r>
              <w:rPr>
                <w:noProof/>
                <w:webHidden/>
              </w:rPr>
            </w:r>
            <w:r>
              <w:rPr>
                <w:noProof/>
                <w:webHidden/>
              </w:rPr>
              <w:fldChar w:fldCharType="separate"/>
            </w:r>
            <w:r w:rsidR="008E27E1">
              <w:rPr>
                <w:noProof/>
                <w:webHidden/>
              </w:rPr>
              <w:t>12</w:t>
            </w:r>
            <w:r>
              <w:rPr>
                <w:noProof/>
                <w:webHidden/>
              </w:rPr>
              <w:fldChar w:fldCharType="end"/>
            </w:r>
          </w:hyperlink>
        </w:p>
        <w:p w:rsidR="0020499E" w:rsidRDefault="0020499E">
          <w:pPr>
            <w:pStyle w:val="TOC3"/>
            <w:tabs>
              <w:tab w:val="right" w:leader="dot" w:pos="9771"/>
            </w:tabs>
            <w:rPr>
              <w:rFonts w:asciiTheme="minorHAnsi" w:eastAsiaTheme="minorEastAsia" w:hAnsiTheme="minorHAnsi" w:cstheme="minorBidi"/>
              <w:noProof/>
              <w:sz w:val="22"/>
              <w:szCs w:val="22"/>
              <w:lang w:val="fr-FR" w:eastAsia="fr-FR"/>
            </w:rPr>
          </w:pPr>
          <w:hyperlink w:anchor="_Toc389396899" w:history="1">
            <w:r w:rsidR="008E27E1">
              <w:rPr>
                <w:rStyle w:val="Hyperlink"/>
                <w:noProof/>
              </w:rPr>
              <w:t>1.3.1 Total Production, Growth and Efficiency by Fields</w:t>
            </w:r>
            <w:r w:rsidR="008E27E1">
              <w:rPr>
                <w:noProof/>
                <w:webHidden/>
              </w:rPr>
              <w:tab/>
            </w:r>
            <w:r>
              <w:rPr>
                <w:noProof/>
                <w:webHidden/>
              </w:rPr>
              <w:fldChar w:fldCharType="begin"/>
            </w:r>
            <w:r w:rsidR="008E27E1">
              <w:rPr>
                <w:noProof/>
                <w:webHidden/>
              </w:rPr>
              <w:instrText xml:space="preserve"> PAGEREF _Toc389396899</w:instrText>
            </w:r>
            <w:r w:rsidR="008E27E1">
              <w:rPr>
                <w:noProof/>
                <w:webHidden/>
              </w:rPr>
              <w:instrText xml:space="preserve"> \h </w:instrText>
            </w:r>
            <w:r>
              <w:rPr>
                <w:noProof/>
                <w:webHidden/>
              </w:rPr>
            </w:r>
            <w:r>
              <w:rPr>
                <w:noProof/>
                <w:webHidden/>
              </w:rPr>
              <w:fldChar w:fldCharType="separate"/>
            </w:r>
            <w:r w:rsidR="008E27E1">
              <w:rPr>
                <w:noProof/>
                <w:webHidden/>
              </w:rPr>
              <w:t>12</w:t>
            </w:r>
            <w:r>
              <w:rPr>
                <w:noProof/>
                <w:webHidden/>
              </w:rPr>
              <w:fldChar w:fldCharType="end"/>
            </w:r>
          </w:hyperlink>
        </w:p>
        <w:p w:rsidR="0020499E" w:rsidRDefault="0020499E">
          <w:pPr>
            <w:pStyle w:val="TOC3"/>
            <w:tabs>
              <w:tab w:val="right" w:leader="dot" w:pos="9771"/>
            </w:tabs>
            <w:rPr>
              <w:rFonts w:asciiTheme="minorHAnsi" w:eastAsiaTheme="minorEastAsia" w:hAnsiTheme="minorHAnsi" w:cstheme="minorBidi"/>
              <w:noProof/>
              <w:sz w:val="22"/>
              <w:szCs w:val="22"/>
              <w:lang w:val="fr-FR" w:eastAsia="fr-FR"/>
            </w:rPr>
          </w:pPr>
          <w:hyperlink w:anchor="_Toc389396900" w:history="1">
            <w:r w:rsidR="008E27E1">
              <w:rPr>
                <w:rStyle w:val="Hyperlink"/>
                <w:noProof/>
              </w:rPr>
              <w:t>1.3.2 Specialization</w:t>
            </w:r>
            <w:r w:rsidR="008E27E1">
              <w:rPr>
                <w:noProof/>
                <w:webHidden/>
              </w:rPr>
              <w:tab/>
            </w:r>
            <w:r>
              <w:rPr>
                <w:noProof/>
                <w:webHidden/>
              </w:rPr>
              <w:fldChar w:fldCharType="begin"/>
            </w:r>
            <w:r w:rsidR="008E27E1">
              <w:rPr>
                <w:noProof/>
                <w:webHidden/>
              </w:rPr>
              <w:instrText xml:space="preserve"> PAGEREF _Toc389396900 \h </w:instrText>
            </w:r>
            <w:r>
              <w:rPr>
                <w:noProof/>
                <w:webHidden/>
              </w:rPr>
            </w:r>
            <w:r>
              <w:rPr>
                <w:noProof/>
                <w:webHidden/>
              </w:rPr>
              <w:fldChar w:fldCharType="separate"/>
            </w:r>
            <w:r w:rsidR="008E27E1">
              <w:rPr>
                <w:noProof/>
                <w:webHidden/>
              </w:rPr>
              <w:t>13</w:t>
            </w:r>
            <w:r>
              <w:rPr>
                <w:noProof/>
                <w:webHidden/>
              </w:rPr>
              <w:fldChar w:fldCharType="end"/>
            </w:r>
          </w:hyperlink>
        </w:p>
        <w:p w:rsidR="0020499E" w:rsidRDefault="0020499E">
          <w:pPr>
            <w:pStyle w:val="TOC3"/>
            <w:tabs>
              <w:tab w:val="right" w:leader="dot" w:pos="9771"/>
            </w:tabs>
            <w:rPr>
              <w:rFonts w:asciiTheme="minorHAnsi" w:eastAsiaTheme="minorEastAsia" w:hAnsiTheme="minorHAnsi" w:cstheme="minorBidi"/>
              <w:noProof/>
              <w:sz w:val="22"/>
              <w:szCs w:val="22"/>
              <w:lang w:val="fr-FR" w:eastAsia="fr-FR"/>
            </w:rPr>
          </w:pPr>
          <w:hyperlink w:anchor="_Toc389396901" w:history="1">
            <w:r w:rsidR="008E27E1">
              <w:rPr>
                <w:rStyle w:val="Hyperlink"/>
                <w:noProof/>
              </w:rPr>
              <w:t>1.3.3 Citation Impact</w:t>
            </w:r>
            <w:r w:rsidR="008E27E1">
              <w:rPr>
                <w:noProof/>
                <w:webHidden/>
              </w:rPr>
              <w:tab/>
            </w:r>
            <w:r>
              <w:rPr>
                <w:noProof/>
                <w:webHidden/>
              </w:rPr>
              <w:fldChar w:fldCharType="begin"/>
            </w:r>
            <w:r w:rsidR="008E27E1">
              <w:rPr>
                <w:noProof/>
                <w:webHidden/>
              </w:rPr>
              <w:instrText xml:space="preserve"> PAGEREF _Toc389396901 \h </w:instrText>
            </w:r>
            <w:r>
              <w:rPr>
                <w:noProof/>
                <w:webHidden/>
              </w:rPr>
            </w:r>
            <w:r>
              <w:rPr>
                <w:noProof/>
                <w:webHidden/>
              </w:rPr>
              <w:fldChar w:fldCharType="separate"/>
            </w:r>
            <w:r w:rsidR="008E27E1">
              <w:rPr>
                <w:noProof/>
                <w:webHidden/>
              </w:rPr>
              <w:t>14</w:t>
            </w:r>
            <w:r>
              <w:rPr>
                <w:noProof/>
                <w:webHidden/>
              </w:rPr>
              <w:fldChar w:fldCharType="end"/>
            </w:r>
          </w:hyperlink>
        </w:p>
        <w:p w:rsidR="0020499E" w:rsidRDefault="0020499E">
          <w:pPr>
            <w:pStyle w:val="TOC2"/>
            <w:tabs>
              <w:tab w:val="right" w:leader="dot" w:pos="9771"/>
            </w:tabs>
            <w:rPr>
              <w:rFonts w:asciiTheme="minorHAnsi" w:eastAsiaTheme="minorEastAsia" w:hAnsiTheme="minorHAnsi" w:cstheme="minorBidi"/>
              <w:noProof/>
              <w:sz w:val="22"/>
              <w:szCs w:val="22"/>
              <w:lang w:val="fr-FR" w:eastAsia="fr-FR"/>
            </w:rPr>
          </w:pPr>
          <w:hyperlink w:anchor="_Toc389396902" w:history="1">
            <w:r w:rsidR="008E27E1">
              <w:rPr>
                <w:rStyle w:val="Hyperlink"/>
                <w:noProof/>
              </w:rPr>
              <w:t>1.4 International Networking and Cooperation</w:t>
            </w:r>
            <w:r w:rsidR="008E27E1">
              <w:rPr>
                <w:noProof/>
                <w:webHidden/>
              </w:rPr>
              <w:tab/>
            </w:r>
            <w:r>
              <w:rPr>
                <w:noProof/>
                <w:webHidden/>
              </w:rPr>
              <w:fldChar w:fldCharType="begin"/>
            </w:r>
            <w:r w:rsidR="008E27E1">
              <w:rPr>
                <w:noProof/>
                <w:webHidden/>
              </w:rPr>
              <w:instrText xml:space="preserve"> PAGEREF _Toc389396902 \h </w:instrText>
            </w:r>
            <w:r>
              <w:rPr>
                <w:noProof/>
                <w:webHidden/>
              </w:rPr>
            </w:r>
            <w:r>
              <w:rPr>
                <w:noProof/>
                <w:webHidden/>
              </w:rPr>
              <w:fldChar w:fldCharType="separate"/>
            </w:r>
            <w:r w:rsidR="008E27E1">
              <w:rPr>
                <w:noProof/>
                <w:webHidden/>
              </w:rPr>
              <w:t>16</w:t>
            </w:r>
            <w:r>
              <w:rPr>
                <w:noProof/>
                <w:webHidden/>
              </w:rPr>
              <w:fldChar w:fldCharType="end"/>
            </w:r>
          </w:hyperlink>
        </w:p>
        <w:p w:rsidR="0020499E" w:rsidRDefault="0020499E">
          <w:pPr>
            <w:pStyle w:val="TOC2"/>
            <w:tabs>
              <w:tab w:val="right" w:leader="dot" w:pos="9771"/>
            </w:tabs>
            <w:rPr>
              <w:rFonts w:asciiTheme="minorHAnsi" w:eastAsiaTheme="minorEastAsia" w:hAnsiTheme="minorHAnsi" w:cstheme="minorBidi"/>
              <w:noProof/>
              <w:sz w:val="22"/>
              <w:szCs w:val="22"/>
              <w:lang w:val="fr-FR" w:eastAsia="fr-FR"/>
            </w:rPr>
          </w:pPr>
          <w:hyperlink w:anchor="_Toc389396903" w:history="1">
            <w:r w:rsidR="008E27E1">
              <w:rPr>
                <w:rStyle w:val="Hyperlink"/>
                <w:noProof/>
              </w:rPr>
              <w:t>1.5 State Grant: the role of the Shota Rustaveli National Science Foundation (SRNSF)</w:t>
            </w:r>
            <w:r w:rsidR="008E27E1">
              <w:rPr>
                <w:noProof/>
                <w:webHidden/>
              </w:rPr>
              <w:tab/>
            </w:r>
            <w:r>
              <w:rPr>
                <w:noProof/>
                <w:webHidden/>
              </w:rPr>
              <w:fldChar w:fldCharType="begin"/>
            </w:r>
            <w:r w:rsidR="008E27E1">
              <w:rPr>
                <w:noProof/>
                <w:webHidden/>
              </w:rPr>
              <w:instrText xml:space="preserve"> PAGEREF _Toc389396903 \h </w:instrText>
            </w:r>
            <w:r>
              <w:rPr>
                <w:noProof/>
                <w:webHidden/>
              </w:rPr>
            </w:r>
            <w:r>
              <w:rPr>
                <w:noProof/>
                <w:webHidden/>
              </w:rPr>
              <w:fldChar w:fldCharType="separate"/>
            </w:r>
            <w:r w:rsidR="008E27E1">
              <w:rPr>
                <w:noProof/>
                <w:webHidden/>
              </w:rPr>
              <w:t>18</w:t>
            </w:r>
            <w:r>
              <w:rPr>
                <w:noProof/>
                <w:webHidden/>
              </w:rPr>
              <w:fldChar w:fldCharType="end"/>
            </w:r>
          </w:hyperlink>
        </w:p>
        <w:p w:rsidR="0020499E" w:rsidRDefault="0020499E">
          <w:pPr>
            <w:pStyle w:val="TOC1"/>
            <w:tabs>
              <w:tab w:val="right" w:leader="dot" w:pos="9771"/>
            </w:tabs>
            <w:rPr>
              <w:rFonts w:asciiTheme="minorHAnsi" w:eastAsiaTheme="minorEastAsia" w:hAnsiTheme="minorHAnsi" w:cstheme="minorBidi"/>
              <w:noProof/>
              <w:sz w:val="22"/>
              <w:szCs w:val="22"/>
              <w:lang w:val="fr-FR" w:eastAsia="fr-FR"/>
            </w:rPr>
          </w:pPr>
          <w:hyperlink w:anchor="_Toc389396904" w:history="1">
            <w:r w:rsidR="008E27E1">
              <w:rPr>
                <w:rStyle w:val="Hyperlink"/>
                <w:noProof/>
              </w:rPr>
              <w:t>2. INTELLECTUAL PROPERTY SNAPSHOT</w:t>
            </w:r>
            <w:r w:rsidR="008E27E1">
              <w:rPr>
                <w:noProof/>
                <w:webHidden/>
              </w:rPr>
              <w:tab/>
            </w:r>
            <w:r>
              <w:rPr>
                <w:noProof/>
                <w:webHidden/>
              </w:rPr>
              <w:fldChar w:fldCharType="begin"/>
            </w:r>
            <w:r w:rsidR="008E27E1">
              <w:rPr>
                <w:noProof/>
                <w:webHidden/>
              </w:rPr>
              <w:instrText xml:space="preserve"> PAGEREF _Toc389396904 \h </w:instrText>
            </w:r>
            <w:r>
              <w:rPr>
                <w:noProof/>
                <w:webHidden/>
              </w:rPr>
            </w:r>
            <w:r>
              <w:rPr>
                <w:noProof/>
                <w:webHidden/>
              </w:rPr>
              <w:fldChar w:fldCharType="separate"/>
            </w:r>
            <w:r w:rsidR="008E27E1">
              <w:rPr>
                <w:noProof/>
                <w:webHidden/>
              </w:rPr>
              <w:t>20</w:t>
            </w:r>
            <w:r>
              <w:rPr>
                <w:noProof/>
                <w:webHidden/>
              </w:rPr>
              <w:fldChar w:fldCharType="end"/>
            </w:r>
          </w:hyperlink>
        </w:p>
        <w:p w:rsidR="0020499E" w:rsidRDefault="0020499E">
          <w:pPr>
            <w:pStyle w:val="TOC2"/>
            <w:tabs>
              <w:tab w:val="right" w:leader="dot" w:pos="9771"/>
            </w:tabs>
            <w:rPr>
              <w:rFonts w:asciiTheme="minorHAnsi" w:eastAsiaTheme="minorEastAsia" w:hAnsiTheme="minorHAnsi" w:cstheme="minorBidi"/>
              <w:noProof/>
              <w:sz w:val="22"/>
              <w:szCs w:val="22"/>
              <w:lang w:val="fr-FR" w:eastAsia="fr-FR"/>
            </w:rPr>
          </w:pPr>
          <w:hyperlink w:anchor="_Toc389396905" w:history="1">
            <w:r w:rsidR="008E27E1">
              <w:rPr>
                <w:rStyle w:val="Hyperlink"/>
                <w:noProof/>
              </w:rPr>
              <w:t>2.1 Domestic data</w:t>
            </w:r>
            <w:r w:rsidR="008E27E1">
              <w:rPr>
                <w:noProof/>
                <w:webHidden/>
              </w:rPr>
              <w:tab/>
            </w:r>
            <w:r>
              <w:rPr>
                <w:noProof/>
                <w:webHidden/>
              </w:rPr>
              <w:fldChar w:fldCharType="begin"/>
            </w:r>
            <w:r w:rsidR="008E27E1">
              <w:rPr>
                <w:noProof/>
                <w:webHidden/>
              </w:rPr>
              <w:instrText xml:space="preserve"> PAGEREF _Toc389396905 \h </w:instrText>
            </w:r>
            <w:r>
              <w:rPr>
                <w:noProof/>
                <w:webHidden/>
              </w:rPr>
            </w:r>
            <w:r>
              <w:rPr>
                <w:noProof/>
                <w:webHidden/>
              </w:rPr>
              <w:fldChar w:fldCharType="separate"/>
            </w:r>
            <w:r w:rsidR="008E27E1">
              <w:rPr>
                <w:noProof/>
                <w:webHidden/>
              </w:rPr>
              <w:t>20</w:t>
            </w:r>
            <w:r>
              <w:rPr>
                <w:noProof/>
                <w:webHidden/>
              </w:rPr>
              <w:fldChar w:fldCharType="end"/>
            </w:r>
          </w:hyperlink>
        </w:p>
        <w:p w:rsidR="0020499E" w:rsidRDefault="0020499E">
          <w:pPr>
            <w:pStyle w:val="TOC3"/>
            <w:tabs>
              <w:tab w:val="right" w:leader="dot" w:pos="9771"/>
            </w:tabs>
            <w:rPr>
              <w:rFonts w:asciiTheme="minorHAnsi" w:eastAsiaTheme="minorEastAsia" w:hAnsiTheme="minorHAnsi" w:cstheme="minorBidi"/>
              <w:noProof/>
              <w:sz w:val="22"/>
              <w:szCs w:val="22"/>
              <w:lang w:val="fr-FR" w:eastAsia="fr-FR"/>
            </w:rPr>
          </w:pPr>
          <w:hyperlink w:anchor="_Toc389396906" w:history="1">
            <w:r w:rsidR="008E27E1">
              <w:rPr>
                <w:rStyle w:val="Hyperlink"/>
                <w:noProof/>
              </w:rPr>
              <w:t>2.1.1 Dominant fields of technology</w:t>
            </w:r>
            <w:r w:rsidR="008E27E1">
              <w:rPr>
                <w:noProof/>
                <w:webHidden/>
              </w:rPr>
              <w:tab/>
            </w:r>
            <w:r>
              <w:rPr>
                <w:noProof/>
                <w:webHidden/>
              </w:rPr>
              <w:fldChar w:fldCharType="begin"/>
            </w:r>
            <w:r w:rsidR="008E27E1">
              <w:rPr>
                <w:noProof/>
                <w:webHidden/>
              </w:rPr>
              <w:instrText xml:space="preserve"> PAGEREF _Toc389396906 \h </w:instrText>
            </w:r>
            <w:r>
              <w:rPr>
                <w:noProof/>
                <w:webHidden/>
              </w:rPr>
            </w:r>
            <w:r>
              <w:rPr>
                <w:noProof/>
                <w:webHidden/>
              </w:rPr>
              <w:fldChar w:fldCharType="separate"/>
            </w:r>
            <w:r w:rsidR="008E27E1">
              <w:rPr>
                <w:noProof/>
                <w:webHidden/>
              </w:rPr>
              <w:t>20</w:t>
            </w:r>
            <w:r>
              <w:rPr>
                <w:noProof/>
                <w:webHidden/>
              </w:rPr>
              <w:fldChar w:fldCharType="end"/>
            </w:r>
          </w:hyperlink>
        </w:p>
        <w:p w:rsidR="0020499E" w:rsidRDefault="0020499E">
          <w:pPr>
            <w:pStyle w:val="TOC3"/>
            <w:tabs>
              <w:tab w:val="right" w:leader="dot" w:pos="9771"/>
            </w:tabs>
            <w:rPr>
              <w:rFonts w:asciiTheme="minorHAnsi" w:eastAsiaTheme="minorEastAsia" w:hAnsiTheme="minorHAnsi" w:cstheme="minorBidi"/>
              <w:noProof/>
              <w:sz w:val="22"/>
              <w:szCs w:val="22"/>
              <w:lang w:val="fr-FR" w:eastAsia="fr-FR"/>
            </w:rPr>
          </w:pPr>
          <w:hyperlink w:anchor="_Toc389396907" w:history="1">
            <w:r w:rsidR="008E27E1">
              <w:rPr>
                <w:rStyle w:val="Hyperlink"/>
                <w:noProof/>
              </w:rPr>
              <w:t>2.1.2 Trends in patent applications</w:t>
            </w:r>
            <w:r w:rsidR="008E27E1">
              <w:rPr>
                <w:noProof/>
                <w:webHidden/>
              </w:rPr>
              <w:tab/>
            </w:r>
            <w:r>
              <w:rPr>
                <w:noProof/>
                <w:webHidden/>
              </w:rPr>
              <w:fldChar w:fldCharType="begin"/>
            </w:r>
            <w:r w:rsidR="008E27E1">
              <w:rPr>
                <w:noProof/>
                <w:webHidden/>
              </w:rPr>
              <w:instrText xml:space="preserve"> PAGEREF _Toc389396907 \h </w:instrText>
            </w:r>
            <w:r>
              <w:rPr>
                <w:noProof/>
                <w:webHidden/>
              </w:rPr>
            </w:r>
            <w:r>
              <w:rPr>
                <w:noProof/>
                <w:webHidden/>
              </w:rPr>
              <w:fldChar w:fldCharType="separate"/>
            </w:r>
            <w:r w:rsidR="008E27E1">
              <w:rPr>
                <w:noProof/>
                <w:webHidden/>
              </w:rPr>
              <w:t>21</w:t>
            </w:r>
            <w:r>
              <w:rPr>
                <w:noProof/>
                <w:webHidden/>
              </w:rPr>
              <w:fldChar w:fldCharType="end"/>
            </w:r>
          </w:hyperlink>
        </w:p>
        <w:p w:rsidR="0020499E" w:rsidRDefault="0020499E">
          <w:pPr>
            <w:pStyle w:val="TOC2"/>
            <w:tabs>
              <w:tab w:val="right" w:leader="dot" w:pos="9771"/>
            </w:tabs>
            <w:rPr>
              <w:rFonts w:asciiTheme="minorHAnsi" w:eastAsiaTheme="minorEastAsia" w:hAnsiTheme="minorHAnsi" w:cstheme="minorBidi"/>
              <w:noProof/>
              <w:sz w:val="22"/>
              <w:szCs w:val="22"/>
              <w:lang w:val="fr-FR" w:eastAsia="fr-FR"/>
            </w:rPr>
          </w:pPr>
          <w:hyperlink w:anchor="_Toc389396908" w:history="1">
            <w:r w:rsidR="008E27E1">
              <w:rPr>
                <w:rStyle w:val="Hyperlink"/>
                <w:noProof/>
              </w:rPr>
              <w:t>2.2 International comparison</w:t>
            </w:r>
            <w:r w:rsidR="008E27E1">
              <w:rPr>
                <w:noProof/>
                <w:webHidden/>
              </w:rPr>
              <w:tab/>
            </w:r>
            <w:r>
              <w:rPr>
                <w:noProof/>
                <w:webHidden/>
              </w:rPr>
              <w:fldChar w:fldCharType="begin"/>
            </w:r>
            <w:r w:rsidR="008E27E1">
              <w:rPr>
                <w:noProof/>
                <w:webHidden/>
              </w:rPr>
              <w:instrText xml:space="preserve"> PAGEREF _Toc389396908 \h </w:instrText>
            </w:r>
            <w:r>
              <w:rPr>
                <w:noProof/>
                <w:webHidden/>
              </w:rPr>
            </w:r>
            <w:r>
              <w:rPr>
                <w:noProof/>
                <w:webHidden/>
              </w:rPr>
              <w:fldChar w:fldCharType="separate"/>
            </w:r>
            <w:r w:rsidR="008E27E1">
              <w:rPr>
                <w:noProof/>
                <w:webHidden/>
              </w:rPr>
              <w:t>22</w:t>
            </w:r>
            <w:r>
              <w:rPr>
                <w:noProof/>
                <w:webHidden/>
              </w:rPr>
              <w:fldChar w:fldCharType="end"/>
            </w:r>
          </w:hyperlink>
        </w:p>
        <w:p w:rsidR="0020499E" w:rsidRDefault="0020499E">
          <w:pPr>
            <w:pStyle w:val="TOC3"/>
            <w:tabs>
              <w:tab w:val="right" w:leader="dot" w:pos="9771"/>
            </w:tabs>
            <w:rPr>
              <w:rFonts w:asciiTheme="minorHAnsi" w:eastAsiaTheme="minorEastAsia" w:hAnsiTheme="minorHAnsi" w:cstheme="minorBidi"/>
              <w:noProof/>
              <w:sz w:val="22"/>
              <w:szCs w:val="22"/>
              <w:lang w:val="fr-FR" w:eastAsia="fr-FR"/>
            </w:rPr>
          </w:pPr>
          <w:hyperlink w:anchor="_Toc389396909" w:history="1">
            <w:r w:rsidR="008E27E1">
              <w:rPr>
                <w:rStyle w:val="Hyperlink"/>
                <w:noProof/>
              </w:rPr>
              <w:t>2.2.1 Total patent applications</w:t>
            </w:r>
            <w:r w:rsidR="008E27E1">
              <w:rPr>
                <w:noProof/>
                <w:webHidden/>
              </w:rPr>
              <w:tab/>
            </w:r>
            <w:r>
              <w:rPr>
                <w:noProof/>
                <w:webHidden/>
              </w:rPr>
              <w:fldChar w:fldCharType="begin"/>
            </w:r>
            <w:r w:rsidR="008E27E1">
              <w:rPr>
                <w:noProof/>
                <w:webHidden/>
              </w:rPr>
              <w:instrText xml:space="preserve"> PAGEREF _Toc389396909 \h </w:instrText>
            </w:r>
            <w:r>
              <w:rPr>
                <w:noProof/>
                <w:webHidden/>
              </w:rPr>
            </w:r>
            <w:r>
              <w:rPr>
                <w:noProof/>
                <w:webHidden/>
              </w:rPr>
              <w:fldChar w:fldCharType="separate"/>
            </w:r>
            <w:r w:rsidR="008E27E1">
              <w:rPr>
                <w:noProof/>
                <w:webHidden/>
              </w:rPr>
              <w:t>22</w:t>
            </w:r>
            <w:r>
              <w:rPr>
                <w:noProof/>
                <w:webHidden/>
              </w:rPr>
              <w:fldChar w:fldCharType="end"/>
            </w:r>
          </w:hyperlink>
        </w:p>
        <w:p w:rsidR="0020499E" w:rsidRDefault="0020499E">
          <w:pPr>
            <w:pStyle w:val="TOC3"/>
            <w:tabs>
              <w:tab w:val="right" w:leader="dot" w:pos="9771"/>
            </w:tabs>
            <w:rPr>
              <w:rFonts w:asciiTheme="minorHAnsi" w:eastAsiaTheme="minorEastAsia" w:hAnsiTheme="minorHAnsi" w:cstheme="minorBidi"/>
              <w:noProof/>
              <w:sz w:val="22"/>
              <w:szCs w:val="22"/>
              <w:lang w:val="fr-FR" w:eastAsia="fr-FR"/>
            </w:rPr>
          </w:pPr>
          <w:hyperlink w:anchor="_Toc389396910" w:history="1">
            <w:r w:rsidR="008E27E1">
              <w:rPr>
                <w:rStyle w:val="Hyperlink"/>
                <w:noProof/>
              </w:rPr>
              <w:t>2.2.2 Comparison with other IP filings and correlation with economic growth</w:t>
            </w:r>
            <w:r w:rsidR="008E27E1">
              <w:rPr>
                <w:noProof/>
                <w:webHidden/>
              </w:rPr>
              <w:tab/>
            </w:r>
            <w:r>
              <w:rPr>
                <w:noProof/>
                <w:webHidden/>
              </w:rPr>
              <w:fldChar w:fldCharType="begin"/>
            </w:r>
            <w:r w:rsidR="008E27E1">
              <w:rPr>
                <w:noProof/>
                <w:webHidden/>
              </w:rPr>
              <w:instrText xml:space="preserve"> PAGEREF _Toc389396910 \h </w:instrText>
            </w:r>
            <w:r>
              <w:rPr>
                <w:noProof/>
                <w:webHidden/>
              </w:rPr>
            </w:r>
            <w:r>
              <w:rPr>
                <w:noProof/>
                <w:webHidden/>
              </w:rPr>
              <w:fldChar w:fldCharType="separate"/>
            </w:r>
            <w:r w:rsidR="008E27E1">
              <w:rPr>
                <w:noProof/>
                <w:webHidden/>
              </w:rPr>
              <w:t>23</w:t>
            </w:r>
            <w:r>
              <w:rPr>
                <w:noProof/>
                <w:webHidden/>
              </w:rPr>
              <w:fldChar w:fldCharType="end"/>
            </w:r>
          </w:hyperlink>
        </w:p>
        <w:p w:rsidR="0020499E" w:rsidRDefault="0020499E">
          <w:pPr>
            <w:pStyle w:val="TOC1"/>
            <w:tabs>
              <w:tab w:val="right" w:leader="dot" w:pos="9771"/>
            </w:tabs>
            <w:rPr>
              <w:rFonts w:asciiTheme="minorHAnsi" w:eastAsiaTheme="minorEastAsia" w:hAnsiTheme="minorHAnsi" w:cstheme="minorBidi"/>
              <w:noProof/>
              <w:sz w:val="22"/>
              <w:szCs w:val="22"/>
              <w:lang w:val="fr-FR" w:eastAsia="fr-FR"/>
            </w:rPr>
          </w:pPr>
          <w:hyperlink w:anchor="_Toc389396911" w:history="1">
            <w:r w:rsidR="008E27E1">
              <w:rPr>
                <w:rStyle w:val="Hyperlink"/>
                <w:noProof/>
              </w:rPr>
              <w:t>3. QUALITATIVE ANALYSIS</w:t>
            </w:r>
            <w:r w:rsidR="008E27E1">
              <w:rPr>
                <w:noProof/>
                <w:webHidden/>
              </w:rPr>
              <w:tab/>
            </w:r>
            <w:r>
              <w:rPr>
                <w:noProof/>
                <w:webHidden/>
              </w:rPr>
              <w:fldChar w:fldCharType="begin"/>
            </w:r>
            <w:r w:rsidR="008E27E1">
              <w:rPr>
                <w:noProof/>
                <w:webHidden/>
              </w:rPr>
              <w:instrText xml:space="preserve"> PAGEREF _Toc389396911 \h </w:instrText>
            </w:r>
            <w:r>
              <w:rPr>
                <w:noProof/>
                <w:webHidden/>
              </w:rPr>
            </w:r>
            <w:r>
              <w:rPr>
                <w:noProof/>
                <w:webHidden/>
              </w:rPr>
              <w:fldChar w:fldCharType="separate"/>
            </w:r>
            <w:r w:rsidR="008E27E1">
              <w:rPr>
                <w:noProof/>
                <w:webHidden/>
              </w:rPr>
              <w:t>26</w:t>
            </w:r>
            <w:r>
              <w:rPr>
                <w:noProof/>
                <w:webHidden/>
              </w:rPr>
              <w:fldChar w:fldCharType="end"/>
            </w:r>
          </w:hyperlink>
        </w:p>
        <w:p w:rsidR="0020499E" w:rsidRDefault="0020499E">
          <w:pPr>
            <w:pStyle w:val="TOC2"/>
            <w:tabs>
              <w:tab w:val="right" w:leader="dot" w:pos="9771"/>
            </w:tabs>
            <w:rPr>
              <w:rFonts w:asciiTheme="minorHAnsi" w:eastAsiaTheme="minorEastAsia" w:hAnsiTheme="minorHAnsi" w:cstheme="minorBidi"/>
              <w:noProof/>
              <w:sz w:val="22"/>
              <w:szCs w:val="22"/>
              <w:lang w:val="fr-FR" w:eastAsia="fr-FR"/>
            </w:rPr>
          </w:pPr>
          <w:hyperlink w:anchor="_Toc389396912" w:history="1">
            <w:r w:rsidR="008E27E1">
              <w:rPr>
                <w:rStyle w:val="Hyperlink"/>
                <w:noProof/>
              </w:rPr>
              <w:t>3.1 Field study: summary of main findings</w:t>
            </w:r>
            <w:r w:rsidR="008E27E1">
              <w:rPr>
                <w:noProof/>
                <w:webHidden/>
              </w:rPr>
              <w:tab/>
            </w:r>
            <w:r>
              <w:rPr>
                <w:noProof/>
                <w:webHidden/>
              </w:rPr>
              <w:fldChar w:fldCharType="begin"/>
            </w:r>
            <w:r w:rsidR="008E27E1">
              <w:rPr>
                <w:noProof/>
                <w:webHidden/>
              </w:rPr>
              <w:instrText xml:space="preserve"> PAGEREF _Toc389396912 \h </w:instrText>
            </w:r>
            <w:r>
              <w:rPr>
                <w:noProof/>
                <w:webHidden/>
              </w:rPr>
            </w:r>
            <w:r>
              <w:rPr>
                <w:noProof/>
                <w:webHidden/>
              </w:rPr>
              <w:fldChar w:fldCharType="separate"/>
            </w:r>
            <w:r w:rsidR="008E27E1">
              <w:rPr>
                <w:noProof/>
                <w:webHidden/>
              </w:rPr>
              <w:t>26</w:t>
            </w:r>
            <w:r>
              <w:rPr>
                <w:noProof/>
                <w:webHidden/>
              </w:rPr>
              <w:fldChar w:fldCharType="end"/>
            </w:r>
          </w:hyperlink>
        </w:p>
        <w:p w:rsidR="0020499E" w:rsidRDefault="0020499E">
          <w:pPr>
            <w:pStyle w:val="TOC3"/>
            <w:tabs>
              <w:tab w:val="right" w:leader="dot" w:pos="9771"/>
            </w:tabs>
            <w:rPr>
              <w:rFonts w:asciiTheme="minorHAnsi" w:eastAsiaTheme="minorEastAsia" w:hAnsiTheme="minorHAnsi" w:cstheme="minorBidi"/>
              <w:noProof/>
              <w:sz w:val="22"/>
              <w:szCs w:val="22"/>
              <w:lang w:val="fr-FR" w:eastAsia="fr-FR"/>
            </w:rPr>
          </w:pPr>
          <w:hyperlink w:anchor="_Toc389396913" w:history="1">
            <w:r w:rsidR="008E27E1">
              <w:rPr>
                <w:rStyle w:val="Hyperlink"/>
                <w:noProof/>
              </w:rPr>
              <w:t>3.1.1 Research organization</w:t>
            </w:r>
            <w:r w:rsidR="008E27E1">
              <w:rPr>
                <w:noProof/>
                <w:webHidden/>
              </w:rPr>
              <w:tab/>
            </w:r>
            <w:r>
              <w:rPr>
                <w:noProof/>
                <w:webHidden/>
              </w:rPr>
              <w:fldChar w:fldCharType="begin"/>
            </w:r>
            <w:r w:rsidR="008E27E1">
              <w:rPr>
                <w:noProof/>
                <w:webHidden/>
              </w:rPr>
              <w:instrText xml:space="preserve"> PAGEREF _Toc389396913 \h </w:instrText>
            </w:r>
            <w:r>
              <w:rPr>
                <w:noProof/>
                <w:webHidden/>
              </w:rPr>
            </w:r>
            <w:r>
              <w:rPr>
                <w:noProof/>
                <w:webHidden/>
              </w:rPr>
              <w:fldChar w:fldCharType="separate"/>
            </w:r>
            <w:r w:rsidR="008E27E1">
              <w:rPr>
                <w:noProof/>
                <w:webHidden/>
              </w:rPr>
              <w:t>26</w:t>
            </w:r>
            <w:r>
              <w:rPr>
                <w:noProof/>
                <w:webHidden/>
              </w:rPr>
              <w:fldChar w:fldCharType="end"/>
            </w:r>
          </w:hyperlink>
        </w:p>
        <w:p w:rsidR="0020499E" w:rsidRDefault="0020499E">
          <w:pPr>
            <w:pStyle w:val="TOC3"/>
            <w:tabs>
              <w:tab w:val="right" w:leader="dot" w:pos="9771"/>
            </w:tabs>
            <w:rPr>
              <w:rFonts w:asciiTheme="minorHAnsi" w:eastAsiaTheme="minorEastAsia" w:hAnsiTheme="minorHAnsi" w:cstheme="minorBidi"/>
              <w:noProof/>
              <w:sz w:val="22"/>
              <w:szCs w:val="22"/>
              <w:lang w:val="fr-FR" w:eastAsia="fr-FR"/>
            </w:rPr>
          </w:pPr>
          <w:hyperlink w:anchor="_Toc389396914" w:history="1">
            <w:r w:rsidR="008E27E1">
              <w:rPr>
                <w:rStyle w:val="Hyperlink"/>
                <w:noProof/>
              </w:rPr>
              <w:t xml:space="preserve">3.1.2 </w:t>
            </w:r>
            <w:r w:rsidR="008E27E1">
              <w:rPr>
                <w:rStyle w:val="Hyperlink"/>
                <w:noProof/>
              </w:rPr>
              <w:t>Research funding</w:t>
            </w:r>
            <w:r w:rsidR="008E27E1">
              <w:rPr>
                <w:noProof/>
                <w:webHidden/>
              </w:rPr>
              <w:tab/>
            </w:r>
            <w:r>
              <w:rPr>
                <w:noProof/>
                <w:webHidden/>
              </w:rPr>
              <w:fldChar w:fldCharType="begin"/>
            </w:r>
            <w:r w:rsidR="008E27E1">
              <w:rPr>
                <w:noProof/>
                <w:webHidden/>
              </w:rPr>
              <w:instrText xml:space="preserve"> PAGEREF _Toc389396914 \h </w:instrText>
            </w:r>
            <w:r>
              <w:rPr>
                <w:noProof/>
                <w:webHidden/>
              </w:rPr>
            </w:r>
            <w:r>
              <w:rPr>
                <w:noProof/>
                <w:webHidden/>
              </w:rPr>
              <w:fldChar w:fldCharType="separate"/>
            </w:r>
            <w:r w:rsidR="008E27E1">
              <w:rPr>
                <w:noProof/>
                <w:webHidden/>
              </w:rPr>
              <w:t>27</w:t>
            </w:r>
            <w:r>
              <w:rPr>
                <w:noProof/>
                <w:webHidden/>
              </w:rPr>
              <w:fldChar w:fldCharType="end"/>
            </w:r>
          </w:hyperlink>
        </w:p>
        <w:p w:rsidR="0020499E" w:rsidRDefault="0020499E">
          <w:pPr>
            <w:pStyle w:val="TOC3"/>
            <w:tabs>
              <w:tab w:val="right" w:leader="dot" w:pos="9771"/>
            </w:tabs>
            <w:rPr>
              <w:rFonts w:asciiTheme="minorHAnsi" w:eastAsiaTheme="minorEastAsia" w:hAnsiTheme="minorHAnsi" w:cstheme="minorBidi"/>
              <w:noProof/>
              <w:sz w:val="22"/>
              <w:szCs w:val="22"/>
              <w:lang w:val="fr-FR" w:eastAsia="fr-FR"/>
            </w:rPr>
          </w:pPr>
          <w:hyperlink w:anchor="_Toc389396915" w:history="1">
            <w:r w:rsidR="008E27E1">
              <w:rPr>
                <w:rStyle w:val="Hyperlink"/>
                <w:noProof/>
              </w:rPr>
              <w:t>3.1.3 Research evaluation criteria</w:t>
            </w:r>
            <w:r w:rsidR="008E27E1">
              <w:rPr>
                <w:noProof/>
                <w:webHidden/>
              </w:rPr>
              <w:tab/>
            </w:r>
            <w:r>
              <w:rPr>
                <w:noProof/>
                <w:webHidden/>
              </w:rPr>
              <w:fldChar w:fldCharType="begin"/>
            </w:r>
            <w:r w:rsidR="008E27E1">
              <w:rPr>
                <w:noProof/>
                <w:webHidden/>
              </w:rPr>
              <w:instrText xml:space="preserve"> PAGEREF _Toc389396915 \h </w:instrText>
            </w:r>
            <w:r>
              <w:rPr>
                <w:noProof/>
                <w:webHidden/>
              </w:rPr>
            </w:r>
            <w:r>
              <w:rPr>
                <w:noProof/>
                <w:webHidden/>
              </w:rPr>
              <w:fldChar w:fldCharType="separate"/>
            </w:r>
            <w:r w:rsidR="008E27E1">
              <w:rPr>
                <w:noProof/>
                <w:webHidden/>
              </w:rPr>
              <w:t>28</w:t>
            </w:r>
            <w:r>
              <w:rPr>
                <w:noProof/>
                <w:webHidden/>
              </w:rPr>
              <w:fldChar w:fldCharType="end"/>
            </w:r>
          </w:hyperlink>
        </w:p>
        <w:p w:rsidR="0020499E" w:rsidRDefault="0020499E">
          <w:pPr>
            <w:pStyle w:val="TOC3"/>
            <w:tabs>
              <w:tab w:val="right" w:leader="dot" w:pos="9771"/>
            </w:tabs>
            <w:rPr>
              <w:rFonts w:asciiTheme="minorHAnsi" w:eastAsiaTheme="minorEastAsia" w:hAnsiTheme="minorHAnsi" w:cstheme="minorBidi"/>
              <w:noProof/>
              <w:sz w:val="22"/>
              <w:szCs w:val="22"/>
              <w:lang w:val="fr-FR" w:eastAsia="fr-FR"/>
            </w:rPr>
          </w:pPr>
          <w:hyperlink w:anchor="_Toc389396916" w:history="1">
            <w:r w:rsidR="008E27E1">
              <w:rPr>
                <w:rStyle w:val="Hyperlink"/>
                <w:noProof/>
              </w:rPr>
              <w:t>3.1.4 The Ph.D issue</w:t>
            </w:r>
            <w:r w:rsidR="008E27E1">
              <w:rPr>
                <w:noProof/>
                <w:webHidden/>
              </w:rPr>
              <w:tab/>
            </w:r>
            <w:r>
              <w:rPr>
                <w:noProof/>
                <w:webHidden/>
              </w:rPr>
              <w:fldChar w:fldCharType="begin"/>
            </w:r>
            <w:r w:rsidR="008E27E1">
              <w:rPr>
                <w:noProof/>
                <w:webHidden/>
              </w:rPr>
              <w:instrText xml:space="preserve"> PAGEREF _Toc389396916 \h </w:instrText>
            </w:r>
            <w:r>
              <w:rPr>
                <w:noProof/>
                <w:webHidden/>
              </w:rPr>
            </w:r>
            <w:r>
              <w:rPr>
                <w:noProof/>
                <w:webHidden/>
              </w:rPr>
              <w:fldChar w:fldCharType="separate"/>
            </w:r>
            <w:r w:rsidR="008E27E1">
              <w:rPr>
                <w:noProof/>
                <w:webHidden/>
              </w:rPr>
              <w:t>29</w:t>
            </w:r>
            <w:r>
              <w:rPr>
                <w:noProof/>
                <w:webHidden/>
              </w:rPr>
              <w:fldChar w:fldCharType="end"/>
            </w:r>
          </w:hyperlink>
        </w:p>
        <w:p w:rsidR="0020499E" w:rsidRDefault="0020499E">
          <w:pPr>
            <w:pStyle w:val="TOC3"/>
            <w:tabs>
              <w:tab w:val="right" w:leader="dot" w:pos="9771"/>
            </w:tabs>
            <w:rPr>
              <w:rFonts w:asciiTheme="minorHAnsi" w:eastAsiaTheme="minorEastAsia" w:hAnsiTheme="minorHAnsi" w:cstheme="minorBidi"/>
              <w:noProof/>
              <w:sz w:val="22"/>
              <w:szCs w:val="22"/>
              <w:lang w:val="fr-FR" w:eastAsia="fr-FR"/>
            </w:rPr>
          </w:pPr>
          <w:hyperlink w:anchor="_Toc389396917" w:history="1">
            <w:r w:rsidR="008E27E1">
              <w:rPr>
                <w:rStyle w:val="Hyperlink"/>
                <w:noProof/>
              </w:rPr>
              <w:t>3.1.5 Economic output of research</w:t>
            </w:r>
            <w:r w:rsidR="008E27E1">
              <w:rPr>
                <w:noProof/>
                <w:webHidden/>
              </w:rPr>
              <w:tab/>
            </w:r>
            <w:r>
              <w:rPr>
                <w:noProof/>
                <w:webHidden/>
              </w:rPr>
              <w:fldChar w:fldCharType="begin"/>
            </w:r>
            <w:r w:rsidR="008E27E1">
              <w:rPr>
                <w:noProof/>
                <w:webHidden/>
              </w:rPr>
              <w:instrText xml:space="preserve"> PAGEREF _Toc389396917 \h </w:instrText>
            </w:r>
            <w:r>
              <w:rPr>
                <w:noProof/>
                <w:webHidden/>
              </w:rPr>
            </w:r>
            <w:r>
              <w:rPr>
                <w:noProof/>
                <w:webHidden/>
              </w:rPr>
              <w:fldChar w:fldCharType="separate"/>
            </w:r>
            <w:r w:rsidR="008E27E1">
              <w:rPr>
                <w:noProof/>
                <w:webHidden/>
              </w:rPr>
              <w:t>30</w:t>
            </w:r>
            <w:r>
              <w:rPr>
                <w:noProof/>
                <w:webHidden/>
              </w:rPr>
              <w:fldChar w:fldCharType="end"/>
            </w:r>
          </w:hyperlink>
        </w:p>
        <w:p w:rsidR="0020499E" w:rsidRDefault="0020499E">
          <w:pPr>
            <w:pStyle w:val="TOC2"/>
            <w:tabs>
              <w:tab w:val="right" w:leader="dot" w:pos="9771"/>
            </w:tabs>
            <w:rPr>
              <w:rFonts w:asciiTheme="minorHAnsi" w:eastAsiaTheme="minorEastAsia" w:hAnsiTheme="minorHAnsi" w:cstheme="minorBidi"/>
              <w:noProof/>
              <w:sz w:val="22"/>
              <w:szCs w:val="22"/>
              <w:lang w:val="fr-FR" w:eastAsia="fr-FR"/>
            </w:rPr>
          </w:pPr>
          <w:hyperlink w:anchor="_Toc389396918" w:history="1">
            <w:r w:rsidR="008E27E1">
              <w:rPr>
                <w:rStyle w:val="Hyperlink"/>
                <w:noProof/>
              </w:rPr>
              <w:t>3.2 SWOT Analysis</w:t>
            </w:r>
            <w:r w:rsidR="008E27E1">
              <w:rPr>
                <w:noProof/>
                <w:webHidden/>
              </w:rPr>
              <w:tab/>
            </w:r>
            <w:r>
              <w:rPr>
                <w:noProof/>
                <w:webHidden/>
              </w:rPr>
              <w:fldChar w:fldCharType="begin"/>
            </w:r>
            <w:r w:rsidR="008E27E1">
              <w:rPr>
                <w:noProof/>
                <w:webHidden/>
              </w:rPr>
              <w:instrText xml:space="preserve"> PAGEREF _Toc389396918 \h </w:instrText>
            </w:r>
            <w:r>
              <w:rPr>
                <w:noProof/>
                <w:webHidden/>
              </w:rPr>
            </w:r>
            <w:r>
              <w:rPr>
                <w:noProof/>
                <w:webHidden/>
              </w:rPr>
              <w:fldChar w:fldCharType="separate"/>
            </w:r>
            <w:r w:rsidR="008E27E1">
              <w:rPr>
                <w:noProof/>
                <w:webHidden/>
              </w:rPr>
              <w:t>30</w:t>
            </w:r>
            <w:r>
              <w:rPr>
                <w:noProof/>
                <w:webHidden/>
              </w:rPr>
              <w:fldChar w:fldCharType="end"/>
            </w:r>
          </w:hyperlink>
        </w:p>
        <w:p w:rsidR="0020499E" w:rsidRDefault="0020499E">
          <w:pPr>
            <w:pStyle w:val="TOC3"/>
            <w:tabs>
              <w:tab w:val="right" w:leader="dot" w:pos="9771"/>
            </w:tabs>
            <w:rPr>
              <w:rFonts w:asciiTheme="minorHAnsi" w:eastAsiaTheme="minorEastAsia" w:hAnsiTheme="minorHAnsi" w:cstheme="minorBidi"/>
              <w:noProof/>
              <w:sz w:val="22"/>
              <w:szCs w:val="22"/>
              <w:lang w:val="fr-FR" w:eastAsia="fr-FR"/>
            </w:rPr>
          </w:pPr>
          <w:hyperlink w:anchor="_Toc389396919" w:history="1">
            <w:r w:rsidR="008E27E1">
              <w:rPr>
                <w:rStyle w:val="Hyperlink"/>
                <w:noProof/>
              </w:rPr>
              <w:t>3.2.1 Summary chart</w:t>
            </w:r>
            <w:r w:rsidR="008E27E1">
              <w:rPr>
                <w:noProof/>
                <w:webHidden/>
              </w:rPr>
              <w:tab/>
            </w:r>
            <w:r>
              <w:rPr>
                <w:noProof/>
                <w:webHidden/>
              </w:rPr>
              <w:fldChar w:fldCharType="begin"/>
            </w:r>
            <w:r w:rsidR="008E27E1">
              <w:rPr>
                <w:noProof/>
                <w:webHidden/>
              </w:rPr>
              <w:instrText xml:space="preserve"> PAGEREF _Toc389396919 \h </w:instrText>
            </w:r>
            <w:r>
              <w:rPr>
                <w:noProof/>
                <w:webHidden/>
              </w:rPr>
            </w:r>
            <w:r>
              <w:rPr>
                <w:noProof/>
                <w:webHidden/>
              </w:rPr>
              <w:fldChar w:fldCharType="separate"/>
            </w:r>
            <w:r w:rsidR="008E27E1">
              <w:rPr>
                <w:noProof/>
                <w:webHidden/>
              </w:rPr>
              <w:t>30</w:t>
            </w:r>
            <w:r>
              <w:rPr>
                <w:noProof/>
                <w:webHidden/>
              </w:rPr>
              <w:fldChar w:fldCharType="end"/>
            </w:r>
          </w:hyperlink>
        </w:p>
        <w:p w:rsidR="0020499E" w:rsidRDefault="0020499E">
          <w:pPr>
            <w:pStyle w:val="TOC3"/>
            <w:tabs>
              <w:tab w:val="right" w:leader="dot" w:pos="9771"/>
            </w:tabs>
            <w:rPr>
              <w:rFonts w:asciiTheme="minorHAnsi" w:eastAsiaTheme="minorEastAsia" w:hAnsiTheme="minorHAnsi" w:cstheme="minorBidi"/>
              <w:noProof/>
              <w:sz w:val="22"/>
              <w:szCs w:val="22"/>
              <w:lang w:val="fr-FR" w:eastAsia="fr-FR"/>
            </w:rPr>
          </w:pPr>
          <w:hyperlink w:anchor="_Toc389396920" w:history="1">
            <w:r w:rsidR="008E27E1">
              <w:rPr>
                <w:rStyle w:val="Hyperlink"/>
                <w:noProof/>
              </w:rPr>
              <w:t>3.2.2 Comments</w:t>
            </w:r>
            <w:r w:rsidR="008E27E1">
              <w:rPr>
                <w:noProof/>
                <w:webHidden/>
              </w:rPr>
              <w:tab/>
            </w:r>
            <w:r>
              <w:rPr>
                <w:noProof/>
                <w:webHidden/>
              </w:rPr>
              <w:fldChar w:fldCharType="begin"/>
            </w:r>
            <w:r w:rsidR="008E27E1">
              <w:rPr>
                <w:noProof/>
                <w:webHidden/>
              </w:rPr>
              <w:instrText xml:space="preserve"> PAGEREF _Toc389396920 \h </w:instrText>
            </w:r>
            <w:r>
              <w:rPr>
                <w:noProof/>
                <w:webHidden/>
              </w:rPr>
            </w:r>
            <w:r>
              <w:rPr>
                <w:noProof/>
                <w:webHidden/>
              </w:rPr>
              <w:fldChar w:fldCharType="separate"/>
            </w:r>
            <w:r w:rsidR="008E27E1">
              <w:rPr>
                <w:noProof/>
                <w:webHidden/>
              </w:rPr>
              <w:t>31</w:t>
            </w:r>
            <w:r>
              <w:rPr>
                <w:noProof/>
                <w:webHidden/>
              </w:rPr>
              <w:fldChar w:fldCharType="end"/>
            </w:r>
          </w:hyperlink>
        </w:p>
        <w:p w:rsidR="0020499E" w:rsidRDefault="0020499E">
          <w:pPr>
            <w:pStyle w:val="TOC1"/>
            <w:tabs>
              <w:tab w:val="right" w:leader="dot" w:pos="9771"/>
            </w:tabs>
            <w:rPr>
              <w:rFonts w:asciiTheme="minorHAnsi" w:eastAsiaTheme="minorEastAsia" w:hAnsiTheme="minorHAnsi" w:cstheme="minorBidi"/>
              <w:noProof/>
              <w:sz w:val="22"/>
              <w:szCs w:val="22"/>
              <w:lang w:val="fr-FR" w:eastAsia="fr-FR"/>
            </w:rPr>
          </w:pPr>
          <w:hyperlink w:anchor="_Toc389396921" w:history="1">
            <w:r w:rsidR="008E27E1">
              <w:rPr>
                <w:rStyle w:val="Hyperlink"/>
                <w:noProof/>
              </w:rPr>
              <w:t>4. RESEARCH ASSESSMENT MECHANISMS</w:t>
            </w:r>
            <w:r w:rsidR="008E27E1">
              <w:rPr>
                <w:noProof/>
                <w:webHidden/>
              </w:rPr>
              <w:tab/>
            </w:r>
            <w:r>
              <w:rPr>
                <w:noProof/>
                <w:webHidden/>
              </w:rPr>
              <w:fldChar w:fldCharType="begin"/>
            </w:r>
            <w:r w:rsidR="008E27E1">
              <w:rPr>
                <w:noProof/>
                <w:webHidden/>
              </w:rPr>
              <w:instrText xml:space="preserve"> PAGEREF _Toc389396921 \h </w:instrText>
            </w:r>
            <w:r>
              <w:rPr>
                <w:noProof/>
                <w:webHidden/>
              </w:rPr>
            </w:r>
            <w:r>
              <w:rPr>
                <w:noProof/>
                <w:webHidden/>
              </w:rPr>
              <w:fldChar w:fldCharType="separate"/>
            </w:r>
            <w:r w:rsidR="008E27E1">
              <w:rPr>
                <w:noProof/>
                <w:webHidden/>
              </w:rPr>
              <w:t>33</w:t>
            </w:r>
            <w:r>
              <w:rPr>
                <w:noProof/>
                <w:webHidden/>
              </w:rPr>
              <w:fldChar w:fldCharType="end"/>
            </w:r>
          </w:hyperlink>
        </w:p>
        <w:p w:rsidR="0020499E" w:rsidRDefault="0020499E">
          <w:pPr>
            <w:pStyle w:val="TOC2"/>
            <w:tabs>
              <w:tab w:val="right" w:leader="dot" w:pos="9771"/>
            </w:tabs>
            <w:rPr>
              <w:rFonts w:asciiTheme="minorHAnsi" w:eastAsiaTheme="minorEastAsia" w:hAnsiTheme="minorHAnsi" w:cstheme="minorBidi"/>
              <w:noProof/>
              <w:sz w:val="22"/>
              <w:szCs w:val="22"/>
              <w:lang w:val="fr-FR" w:eastAsia="fr-FR"/>
            </w:rPr>
          </w:pPr>
          <w:hyperlink w:anchor="_Toc389396922" w:history="1">
            <w:r w:rsidR="008E27E1">
              <w:rPr>
                <w:rStyle w:val="Hyperlink"/>
                <w:noProof/>
              </w:rPr>
              <w:t>4.1 Overview</w:t>
            </w:r>
            <w:r w:rsidR="008E27E1">
              <w:rPr>
                <w:noProof/>
                <w:webHidden/>
              </w:rPr>
              <w:tab/>
            </w:r>
            <w:r>
              <w:rPr>
                <w:noProof/>
                <w:webHidden/>
              </w:rPr>
              <w:fldChar w:fldCharType="begin"/>
            </w:r>
            <w:r w:rsidR="008E27E1">
              <w:rPr>
                <w:noProof/>
                <w:webHidden/>
              </w:rPr>
              <w:instrText xml:space="preserve"> PAGEREF _Toc389396922 \h </w:instrText>
            </w:r>
            <w:r>
              <w:rPr>
                <w:noProof/>
                <w:webHidden/>
              </w:rPr>
            </w:r>
            <w:r>
              <w:rPr>
                <w:noProof/>
                <w:webHidden/>
              </w:rPr>
              <w:fldChar w:fldCharType="separate"/>
            </w:r>
            <w:r w:rsidR="008E27E1">
              <w:rPr>
                <w:noProof/>
                <w:webHidden/>
              </w:rPr>
              <w:t>33</w:t>
            </w:r>
            <w:r>
              <w:rPr>
                <w:noProof/>
                <w:webHidden/>
              </w:rPr>
              <w:fldChar w:fldCharType="end"/>
            </w:r>
          </w:hyperlink>
        </w:p>
        <w:p w:rsidR="0020499E" w:rsidRDefault="0020499E">
          <w:pPr>
            <w:pStyle w:val="TOC3"/>
            <w:tabs>
              <w:tab w:val="right" w:leader="dot" w:pos="9771"/>
            </w:tabs>
            <w:rPr>
              <w:rFonts w:asciiTheme="minorHAnsi" w:eastAsiaTheme="minorEastAsia" w:hAnsiTheme="minorHAnsi" w:cstheme="minorBidi"/>
              <w:noProof/>
              <w:sz w:val="22"/>
              <w:szCs w:val="22"/>
              <w:lang w:val="fr-FR" w:eastAsia="fr-FR"/>
            </w:rPr>
          </w:pPr>
          <w:hyperlink w:anchor="_Toc389396923" w:history="1">
            <w:r w:rsidR="008E27E1">
              <w:rPr>
                <w:rStyle w:val="Hyperlink"/>
                <w:noProof/>
              </w:rPr>
              <w:t>4.1.1 The ingredient</w:t>
            </w:r>
            <w:r w:rsidR="008E27E1">
              <w:rPr>
                <w:rStyle w:val="Hyperlink"/>
                <w:noProof/>
              </w:rPr>
              <w:t>s</w:t>
            </w:r>
            <w:r w:rsidR="008E27E1">
              <w:rPr>
                <w:noProof/>
                <w:webHidden/>
              </w:rPr>
              <w:tab/>
            </w:r>
            <w:r>
              <w:rPr>
                <w:noProof/>
                <w:webHidden/>
              </w:rPr>
              <w:fldChar w:fldCharType="begin"/>
            </w:r>
            <w:r w:rsidR="008E27E1">
              <w:rPr>
                <w:noProof/>
                <w:webHidden/>
              </w:rPr>
              <w:instrText xml:space="preserve"> PAGEREF _Toc389396923 \h </w:instrText>
            </w:r>
            <w:r>
              <w:rPr>
                <w:noProof/>
                <w:webHidden/>
              </w:rPr>
            </w:r>
            <w:r>
              <w:rPr>
                <w:noProof/>
                <w:webHidden/>
              </w:rPr>
              <w:fldChar w:fldCharType="separate"/>
            </w:r>
            <w:r w:rsidR="008E27E1">
              <w:rPr>
                <w:noProof/>
                <w:webHidden/>
              </w:rPr>
              <w:t>33</w:t>
            </w:r>
            <w:r>
              <w:rPr>
                <w:noProof/>
                <w:webHidden/>
              </w:rPr>
              <w:fldChar w:fldCharType="end"/>
            </w:r>
          </w:hyperlink>
        </w:p>
        <w:p w:rsidR="0020499E" w:rsidRDefault="0020499E">
          <w:pPr>
            <w:pStyle w:val="TOC3"/>
            <w:tabs>
              <w:tab w:val="right" w:leader="dot" w:pos="9771"/>
            </w:tabs>
            <w:rPr>
              <w:rFonts w:asciiTheme="minorHAnsi" w:eastAsiaTheme="minorEastAsia" w:hAnsiTheme="minorHAnsi" w:cstheme="minorBidi"/>
              <w:noProof/>
              <w:sz w:val="22"/>
              <w:szCs w:val="22"/>
              <w:lang w:val="fr-FR" w:eastAsia="fr-FR"/>
            </w:rPr>
          </w:pPr>
          <w:hyperlink w:anchor="_Toc389396924" w:history="1">
            <w:r w:rsidR="008E27E1">
              <w:rPr>
                <w:rStyle w:val="Hyperlink"/>
                <w:noProof/>
              </w:rPr>
              <w:t>4.1.2 Correlation between funding methods and assessment methods</w:t>
            </w:r>
            <w:r w:rsidR="008E27E1">
              <w:rPr>
                <w:noProof/>
                <w:webHidden/>
              </w:rPr>
              <w:tab/>
            </w:r>
            <w:r>
              <w:rPr>
                <w:noProof/>
                <w:webHidden/>
              </w:rPr>
              <w:fldChar w:fldCharType="begin"/>
            </w:r>
            <w:r w:rsidR="008E27E1">
              <w:rPr>
                <w:noProof/>
                <w:webHidden/>
              </w:rPr>
              <w:instrText xml:space="preserve"> PAGEREF _Toc389396924 \h </w:instrText>
            </w:r>
            <w:r>
              <w:rPr>
                <w:noProof/>
                <w:webHidden/>
              </w:rPr>
            </w:r>
            <w:r>
              <w:rPr>
                <w:noProof/>
                <w:webHidden/>
              </w:rPr>
              <w:fldChar w:fldCharType="separate"/>
            </w:r>
            <w:r w:rsidR="008E27E1">
              <w:rPr>
                <w:noProof/>
                <w:webHidden/>
              </w:rPr>
              <w:t>33</w:t>
            </w:r>
            <w:r>
              <w:rPr>
                <w:noProof/>
                <w:webHidden/>
              </w:rPr>
              <w:fldChar w:fldCharType="end"/>
            </w:r>
          </w:hyperlink>
        </w:p>
        <w:p w:rsidR="0020499E" w:rsidRDefault="0020499E">
          <w:pPr>
            <w:pStyle w:val="TOC2"/>
            <w:tabs>
              <w:tab w:val="right" w:leader="dot" w:pos="9771"/>
            </w:tabs>
            <w:rPr>
              <w:rFonts w:asciiTheme="minorHAnsi" w:eastAsiaTheme="minorEastAsia" w:hAnsiTheme="minorHAnsi" w:cstheme="minorBidi"/>
              <w:noProof/>
              <w:sz w:val="22"/>
              <w:szCs w:val="22"/>
              <w:lang w:val="fr-FR" w:eastAsia="fr-FR"/>
            </w:rPr>
          </w:pPr>
          <w:hyperlink w:anchor="_Toc389396925" w:history="1">
            <w:r w:rsidR="008E27E1">
              <w:rPr>
                <w:rStyle w:val="Hyperlink"/>
                <w:noProof/>
              </w:rPr>
              <w:t>4.2 Trade-off options: cross-country analysis</w:t>
            </w:r>
            <w:r w:rsidR="008E27E1">
              <w:rPr>
                <w:noProof/>
                <w:webHidden/>
              </w:rPr>
              <w:tab/>
            </w:r>
            <w:r>
              <w:rPr>
                <w:noProof/>
                <w:webHidden/>
              </w:rPr>
              <w:fldChar w:fldCharType="begin"/>
            </w:r>
            <w:r w:rsidR="008E27E1">
              <w:rPr>
                <w:noProof/>
                <w:webHidden/>
              </w:rPr>
              <w:instrText xml:space="preserve"> PAGEREF _Toc389396925 \h </w:instrText>
            </w:r>
            <w:r>
              <w:rPr>
                <w:noProof/>
                <w:webHidden/>
              </w:rPr>
            </w:r>
            <w:r>
              <w:rPr>
                <w:noProof/>
                <w:webHidden/>
              </w:rPr>
              <w:fldChar w:fldCharType="separate"/>
            </w:r>
            <w:r w:rsidR="008E27E1">
              <w:rPr>
                <w:noProof/>
                <w:webHidden/>
              </w:rPr>
              <w:t>34</w:t>
            </w:r>
            <w:r>
              <w:rPr>
                <w:noProof/>
                <w:webHidden/>
              </w:rPr>
              <w:fldChar w:fldCharType="end"/>
            </w:r>
          </w:hyperlink>
        </w:p>
        <w:p w:rsidR="0020499E" w:rsidRDefault="0020499E">
          <w:pPr>
            <w:pStyle w:val="TOC3"/>
            <w:tabs>
              <w:tab w:val="right" w:leader="dot" w:pos="9771"/>
            </w:tabs>
            <w:rPr>
              <w:rFonts w:asciiTheme="minorHAnsi" w:eastAsiaTheme="minorEastAsia" w:hAnsiTheme="minorHAnsi" w:cstheme="minorBidi"/>
              <w:noProof/>
              <w:sz w:val="22"/>
              <w:szCs w:val="22"/>
              <w:lang w:val="fr-FR" w:eastAsia="fr-FR"/>
            </w:rPr>
          </w:pPr>
          <w:hyperlink w:anchor="_Toc389396926" w:history="1">
            <w:r w:rsidR="008E27E1">
              <w:rPr>
                <w:rStyle w:val="Hyperlink"/>
                <w:noProof/>
              </w:rPr>
              <w:t xml:space="preserve">4.2.1 UK: a </w:t>
            </w:r>
            <w:r w:rsidR="008E27E1">
              <w:rPr>
                <w:rStyle w:val="Hyperlink"/>
                <w:noProof/>
              </w:rPr>
              <w:t>competitive system with major implications on research funding</w:t>
            </w:r>
            <w:r w:rsidR="008E27E1">
              <w:rPr>
                <w:noProof/>
                <w:webHidden/>
              </w:rPr>
              <w:tab/>
            </w:r>
            <w:r>
              <w:rPr>
                <w:noProof/>
                <w:webHidden/>
              </w:rPr>
              <w:fldChar w:fldCharType="begin"/>
            </w:r>
            <w:r w:rsidR="008E27E1">
              <w:rPr>
                <w:noProof/>
                <w:webHidden/>
              </w:rPr>
              <w:instrText xml:space="preserve"> PAGEREF _Toc389396926 \h </w:instrText>
            </w:r>
            <w:r>
              <w:rPr>
                <w:noProof/>
                <w:webHidden/>
              </w:rPr>
            </w:r>
            <w:r>
              <w:rPr>
                <w:noProof/>
                <w:webHidden/>
              </w:rPr>
              <w:fldChar w:fldCharType="separate"/>
            </w:r>
            <w:r w:rsidR="008E27E1">
              <w:rPr>
                <w:noProof/>
                <w:webHidden/>
              </w:rPr>
              <w:t>34</w:t>
            </w:r>
            <w:r>
              <w:rPr>
                <w:noProof/>
                <w:webHidden/>
              </w:rPr>
              <w:fldChar w:fldCharType="end"/>
            </w:r>
          </w:hyperlink>
        </w:p>
        <w:p w:rsidR="0020499E" w:rsidRDefault="0020499E">
          <w:pPr>
            <w:pStyle w:val="TOC3"/>
            <w:tabs>
              <w:tab w:val="right" w:leader="dot" w:pos="9771"/>
            </w:tabs>
            <w:rPr>
              <w:rFonts w:asciiTheme="minorHAnsi" w:eastAsiaTheme="minorEastAsia" w:hAnsiTheme="minorHAnsi" w:cstheme="minorBidi"/>
              <w:noProof/>
              <w:sz w:val="22"/>
              <w:szCs w:val="22"/>
              <w:lang w:val="fr-FR" w:eastAsia="fr-FR"/>
            </w:rPr>
          </w:pPr>
          <w:hyperlink w:anchor="_Toc389396927" w:history="1">
            <w:r w:rsidR="008E27E1">
              <w:rPr>
                <w:rStyle w:val="Hyperlink"/>
                <w:noProof/>
              </w:rPr>
              <w:t>4.2.2 Italy: a competitive system with intermediary implications o</w:t>
            </w:r>
            <w:r w:rsidR="008E27E1">
              <w:rPr>
                <w:rStyle w:val="Hyperlink"/>
                <w:noProof/>
              </w:rPr>
              <w:t>n research funding</w:t>
            </w:r>
            <w:r w:rsidR="008E27E1">
              <w:rPr>
                <w:noProof/>
                <w:webHidden/>
              </w:rPr>
              <w:tab/>
            </w:r>
            <w:r>
              <w:rPr>
                <w:noProof/>
                <w:webHidden/>
              </w:rPr>
              <w:fldChar w:fldCharType="begin"/>
            </w:r>
            <w:r w:rsidR="008E27E1">
              <w:rPr>
                <w:noProof/>
                <w:webHidden/>
              </w:rPr>
              <w:instrText xml:space="preserve"> PAGEREF _Toc389396927 \h </w:instrText>
            </w:r>
            <w:r>
              <w:rPr>
                <w:noProof/>
                <w:webHidden/>
              </w:rPr>
            </w:r>
            <w:r>
              <w:rPr>
                <w:noProof/>
                <w:webHidden/>
              </w:rPr>
              <w:fldChar w:fldCharType="separate"/>
            </w:r>
            <w:r w:rsidR="008E27E1">
              <w:rPr>
                <w:noProof/>
                <w:webHidden/>
              </w:rPr>
              <w:t>35</w:t>
            </w:r>
            <w:r>
              <w:rPr>
                <w:noProof/>
                <w:webHidden/>
              </w:rPr>
              <w:fldChar w:fldCharType="end"/>
            </w:r>
          </w:hyperlink>
        </w:p>
        <w:p w:rsidR="0020499E" w:rsidRDefault="0020499E">
          <w:pPr>
            <w:pStyle w:val="TOC3"/>
            <w:tabs>
              <w:tab w:val="right" w:leader="dot" w:pos="9771"/>
            </w:tabs>
            <w:rPr>
              <w:rFonts w:asciiTheme="minorHAnsi" w:eastAsiaTheme="minorEastAsia" w:hAnsiTheme="minorHAnsi" w:cstheme="minorBidi"/>
              <w:noProof/>
              <w:sz w:val="22"/>
              <w:szCs w:val="22"/>
              <w:lang w:val="fr-FR" w:eastAsia="fr-FR"/>
            </w:rPr>
          </w:pPr>
          <w:hyperlink w:anchor="_Toc389396928" w:history="1">
            <w:r w:rsidR="008E27E1">
              <w:rPr>
                <w:rStyle w:val="Hyperlink"/>
                <w:noProof/>
              </w:rPr>
              <w:t>4.2.3 Germany: a dual system</w:t>
            </w:r>
            <w:r w:rsidR="008E27E1">
              <w:rPr>
                <w:noProof/>
                <w:webHidden/>
              </w:rPr>
              <w:tab/>
            </w:r>
            <w:r>
              <w:rPr>
                <w:noProof/>
                <w:webHidden/>
              </w:rPr>
              <w:fldChar w:fldCharType="begin"/>
            </w:r>
            <w:r w:rsidR="008E27E1">
              <w:rPr>
                <w:noProof/>
                <w:webHidden/>
              </w:rPr>
              <w:instrText xml:space="preserve"> PAGEREF _Toc389396928 \h </w:instrText>
            </w:r>
            <w:r>
              <w:rPr>
                <w:noProof/>
                <w:webHidden/>
              </w:rPr>
            </w:r>
            <w:r>
              <w:rPr>
                <w:noProof/>
                <w:webHidden/>
              </w:rPr>
              <w:fldChar w:fldCharType="separate"/>
            </w:r>
            <w:r w:rsidR="008E27E1">
              <w:rPr>
                <w:noProof/>
                <w:webHidden/>
              </w:rPr>
              <w:t>35</w:t>
            </w:r>
            <w:r>
              <w:rPr>
                <w:noProof/>
                <w:webHidden/>
              </w:rPr>
              <w:fldChar w:fldCharType="end"/>
            </w:r>
          </w:hyperlink>
        </w:p>
        <w:p w:rsidR="0020499E" w:rsidRDefault="0020499E">
          <w:pPr>
            <w:pStyle w:val="TOC3"/>
            <w:tabs>
              <w:tab w:val="right" w:leader="dot" w:pos="9771"/>
            </w:tabs>
            <w:rPr>
              <w:rFonts w:asciiTheme="minorHAnsi" w:eastAsiaTheme="minorEastAsia" w:hAnsiTheme="minorHAnsi" w:cstheme="minorBidi"/>
              <w:noProof/>
              <w:sz w:val="22"/>
              <w:szCs w:val="22"/>
              <w:lang w:val="fr-FR" w:eastAsia="fr-FR"/>
            </w:rPr>
          </w:pPr>
          <w:hyperlink w:anchor="_Toc389396929" w:history="1">
            <w:r w:rsidR="008E27E1">
              <w:rPr>
                <w:rStyle w:val="Hyperlink"/>
                <w:noProof/>
              </w:rPr>
              <w:t>4.2.4 Update and trends</w:t>
            </w:r>
            <w:r w:rsidR="008E27E1">
              <w:rPr>
                <w:noProof/>
                <w:webHidden/>
              </w:rPr>
              <w:tab/>
            </w:r>
            <w:r>
              <w:rPr>
                <w:noProof/>
                <w:webHidden/>
              </w:rPr>
              <w:fldChar w:fldCharType="begin"/>
            </w:r>
            <w:r w:rsidR="008E27E1">
              <w:rPr>
                <w:noProof/>
                <w:webHidden/>
              </w:rPr>
              <w:instrText xml:space="preserve"> PAGEREF _Toc389396929 \h </w:instrText>
            </w:r>
            <w:r>
              <w:rPr>
                <w:noProof/>
                <w:webHidden/>
              </w:rPr>
            </w:r>
            <w:r>
              <w:rPr>
                <w:noProof/>
                <w:webHidden/>
              </w:rPr>
              <w:fldChar w:fldCharType="separate"/>
            </w:r>
            <w:r w:rsidR="008E27E1">
              <w:rPr>
                <w:noProof/>
                <w:webHidden/>
              </w:rPr>
              <w:t>36</w:t>
            </w:r>
            <w:r>
              <w:rPr>
                <w:noProof/>
                <w:webHidden/>
              </w:rPr>
              <w:fldChar w:fldCharType="end"/>
            </w:r>
          </w:hyperlink>
        </w:p>
        <w:p w:rsidR="0020499E" w:rsidRDefault="0020499E">
          <w:pPr>
            <w:pStyle w:val="TOC2"/>
            <w:tabs>
              <w:tab w:val="right" w:leader="dot" w:pos="9771"/>
            </w:tabs>
            <w:rPr>
              <w:rFonts w:asciiTheme="minorHAnsi" w:eastAsiaTheme="minorEastAsia" w:hAnsiTheme="minorHAnsi" w:cstheme="minorBidi"/>
              <w:noProof/>
              <w:sz w:val="22"/>
              <w:szCs w:val="22"/>
              <w:lang w:val="fr-FR" w:eastAsia="fr-FR"/>
            </w:rPr>
          </w:pPr>
          <w:hyperlink w:anchor="_Toc389396930" w:history="1">
            <w:r w:rsidR="008E27E1">
              <w:rPr>
                <w:rStyle w:val="Hyperlink"/>
                <w:noProof/>
              </w:rPr>
              <w:t>4.3 What trade-off(s) for Georgia?</w:t>
            </w:r>
            <w:r w:rsidR="008E27E1">
              <w:rPr>
                <w:noProof/>
                <w:webHidden/>
              </w:rPr>
              <w:tab/>
            </w:r>
            <w:r>
              <w:rPr>
                <w:noProof/>
                <w:webHidden/>
              </w:rPr>
              <w:fldChar w:fldCharType="begin"/>
            </w:r>
            <w:r w:rsidR="008E27E1">
              <w:rPr>
                <w:noProof/>
                <w:webHidden/>
              </w:rPr>
              <w:instrText xml:space="preserve"> PAGEREF _Toc389396930 </w:instrText>
            </w:r>
            <w:r w:rsidR="008E27E1">
              <w:rPr>
                <w:noProof/>
                <w:webHidden/>
              </w:rPr>
              <w:instrText xml:space="preserve">\h </w:instrText>
            </w:r>
            <w:r>
              <w:rPr>
                <w:noProof/>
                <w:webHidden/>
              </w:rPr>
            </w:r>
            <w:r>
              <w:rPr>
                <w:noProof/>
                <w:webHidden/>
              </w:rPr>
              <w:fldChar w:fldCharType="separate"/>
            </w:r>
            <w:r w:rsidR="008E27E1">
              <w:rPr>
                <w:noProof/>
                <w:webHidden/>
              </w:rPr>
              <w:t>36</w:t>
            </w:r>
            <w:r>
              <w:rPr>
                <w:noProof/>
                <w:webHidden/>
              </w:rPr>
              <w:fldChar w:fldCharType="end"/>
            </w:r>
          </w:hyperlink>
        </w:p>
        <w:p w:rsidR="0020499E" w:rsidRDefault="0020499E">
          <w:pPr>
            <w:pStyle w:val="TOC3"/>
            <w:tabs>
              <w:tab w:val="right" w:leader="dot" w:pos="9771"/>
            </w:tabs>
            <w:rPr>
              <w:rFonts w:asciiTheme="minorHAnsi" w:eastAsiaTheme="minorEastAsia" w:hAnsiTheme="minorHAnsi" w:cstheme="minorBidi"/>
              <w:noProof/>
              <w:sz w:val="22"/>
              <w:szCs w:val="22"/>
              <w:lang w:val="fr-FR" w:eastAsia="fr-FR"/>
            </w:rPr>
          </w:pPr>
          <w:hyperlink w:anchor="_Toc389396931" w:history="1">
            <w:r w:rsidR="008E27E1">
              <w:rPr>
                <w:rStyle w:val="Hyperlink"/>
                <w:noProof/>
              </w:rPr>
              <w:t>4.3.1 The need to clarify the purpose(s) of evaluating Georgian research</w:t>
            </w:r>
            <w:r w:rsidR="008E27E1">
              <w:rPr>
                <w:noProof/>
                <w:webHidden/>
              </w:rPr>
              <w:tab/>
            </w:r>
            <w:r>
              <w:rPr>
                <w:noProof/>
                <w:webHidden/>
              </w:rPr>
              <w:fldChar w:fldCharType="begin"/>
            </w:r>
            <w:r w:rsidR="008E27E1">
              <w:rPr>
                <w:noProof/>
                <w:webHidden/>
              </w:rPr>
              <w:instrText xml:space="preserve"> PAGEREF _Toc389396931 \h </w:instrText>
            </w:r>
            <w:r>
              <w:rPr>
                <w:noProof/>
                <w:webHidden/>
              </w:rPr>
            </w:r>
            <w:r>
              <w:rPr>
                <w:noProof/>
                <w:webHidden/>
              </w:rPr>
              <w:fldChar w:fldCharType="separate"/>
            </w:r>
            <w:r w:rsidR="008E27E1">
              <w:rPr>
                <w:noProof/>
                <w:webHidden/>
              </w:rPr>
              <w:t>36</w:t>
            </w:r>
            <w:r>
              <w:rPr>
                <w:noProof/>
                <w:webHidden/>
              </w:rPr>
              <w:fldChar w:fldCharType="end"/>
            </w:r>
          </w:hyperlink>
        </w:p>
        <w:p w:rsidR="0020499E" w:rsidRDefault="0020499E">
          <w:pPr>
            <w:pStyle w:val="TOC3"/>
            <w:tabs>
              <w:tab w:val="right" w:leader="dot" w:pos="9771"/>
            </w:tabs>
            <w:rPr>
              <w:rFonts w:asciiTheme="minorHAnsi" w:eastAsiaTheme="minorEastAsia" w:hAnsiTheme="minorHAnsi" w:cstheme="minorBidi"/>
              <w:noProof/>
              <w:sz w:val="22"/>
              <w:szCs w:val="22"/>
              <w:lang w:val="fr-FR" w:eastAsia="fr-FR"/>
            </w:rPr>
          </w:pPr>
          <w:hyperlink w:anchor="_Toc389396932" w:history="1">
            <w:r w:rsidR="008E27E1">
              <w:rPr>
                <w:rStyle w:val="Hyperlink"/>
                <w:noProof/>
              </w:rPr>
              <w:t>4.3.2 Tentative framework for research funding</w:t>
            </w:r>
            <w:r w:rsidR="008E27E1">
              <w:rPr>
                <w:noProof/>
                <w:webHidden/>
              </w:rPr>
              <w:tab/>
            </w:r>
            <w:r>
              <w:rPr>
                <w:noProof/>
                <w:webHidden/>
              </w:rPr>
              <w:fldChar w:fldCharType="begin"/>
            </w:r>
            <w:r w:rsidR="008E27E1">
              <w:rPr>
                <w:noProof/>
                <w:webHidden/>
              </w:rPr>
              <w:instrText xml:space="preserve"> PAGEREF _Toc389396932 \h </w:instrText>
            </w:r>
            <w:r>
              <w:rPr>
                <w:noProof/>
                <w:webHidden/>
              </w:rPr>
            </w:r>
            <w:r>
              <w:rPr>
                <w:noProof/>
                <w:webHidden/>
              </w:rPr>
              <w:fldChar w:fldCharType="separate"/>
            </w:r>
            <w:r w:rsidR="008E27E1">
              <w:rPr>
                <w:noProof/>
                <w:webHidden/>
              </w:rPr>
              <w:t>37</w:t>
            </w:r>
            <w:r>
              <w:rPr>
                <w:noProof/>
                <w:webHidden/>
              </w:rPr>
              <w:fldChar w:fldCharType="end"/>
            </w:r>
          </w:hyperlink>
        </w:p>
        <w:p w:rsidR="0020499E" w:rsidRDefault="0020499E">
          <w:pPr>
            <w:pStyle w:val="TOC3"/>
            <w:tabs>
              <w:tab w:val="right" w:leader="dot" w:pos="9771"/>
            </w:tabs>
            <w:rPr>
              <w:rFonts w:asciiTheme="minorHAnsi" w:eastAsiaTheme="minorEastAsia" w:hAnsiTheme="minorHAnsi" w:cstheme="minorBidi"/>
              <w:noProof/>
              <w:sz w:val="22"/>
              <w:szCs w:val="22"/>
              <w:lang w:val="fr-FR" w:eastAsia="fr-FR"/>
            </w:rPr>
          </w:pPr>
          <w:hyperlink w:anchor="_Toc389396933" w:history="1">
            <w:r w:rsidR="008E27E1">
              <w:rPr>
                <w:rStyle w:val="Hyperlink"/>
                <w:noProof/>
              </w:rPr>
              <w:t>4.3.3 Who should evaluate Georgian research?</w:t>
            </w:r>
            <w:r w:rsidR="008E27E1">
              <w:rPr>
                <w:noProof/>
                <w:webHidden/>
              </w:rPr>
              <w:tab/>
            </w:r>
            <w:r>
              <w:rPr>
                <w:noProof/>
                <w:webHidden/>
              </w:rPr>
              <w:fldChar w:fldCharType="begin"/>
            </w:r>
            <w:r w:rsidR="008E27E1">
              <w:rPr>
                <w:noProof/>
                <w:webHidden/>
              </w:rPr>
              <w:instrText xml:space="preserve"> PAGEREF _Toc389396933 \h </w:instrText>
            </w:r>
            <w:r>
              <w:rPr>
                <w:noProof/>
                <w:webHidden/>
              </w:rPr>
            </w:r>
            <w:r>
              <w:rPr>
                <w:noProof/>
                <w:webHidden/>
              </w:rPr>
              <w:fldChar w:fldCharType="separate"/>
            </w:r>
            <w:r w:rsidR="008E27E1">
              <w:rPr>
                <w:noProof/>
                <w:webHidden/>
              </w:rPr>
              <w:t>38</w:t>
            </w:r>
            <w:r>
              <w:rPr>
                <w:noProof/>
                <w:webHidden/>
              </w:rPr>
              <w:fldChar w:fldCharType="end"/>
            </w:r>
          </w:hyperlink>
        </w:p>
        <w:p w:rsidR="0020499E" w:rsidRDefault="0020499E">
          <w:pPr>
            <w:pStyle w:val="TOC3"/>
            <w:tabs>
              <w:tab w:val="right" w:leader="dot" w:pos="9771"/>
            </w:tabs>
            <w:rPr>
              <w:rFonts w:asciiTheme="minorHAnsi" w:eastAsiaTheme="minorEastAsia" w:hAnsiTheme="minorHAnsi" w:cstheme="minorBidi"/>
              <w:noProof/>
              <w:sz w:val="22"/>
              <w:szCs w:val="22"/>
              <w:lang w:val="fr-FR" w:eastAsia="fr-FR"/>
            </w:rPr>
          </w:pPr>
          <w:hyperlink w:anchor="_Toc389396934" w:history="1">
            <w:r w:rsidR="008E27E1">
              <w:rPr>
                <w:rStyle w:val="Hyperlink"/>
                <w:noProof/>
              </w:rPr>
              <w:t>4.3.4 The importance of self-assessment</w:t>
            </w:r>
            <w:r w:rsidR="008E27E1">
              <w:rPr>
                <w:noProof/>
                <w:webHidden/>
              </w:rPr>
              <w:tab/>
            </w:r>
            <w:r>
              <w:rPr>
                <w:noProof/>
                <w:webHidden/>
              </w:rPr>
              <w:fldChar w:fldCharType="begin"/>
            </w:r>
            <w:r w:rsidR="008E27E1">
              <w:rPr>
                <w:noProof/>
                <w:webHidden/>
              </w:rPr>
              <w:instrText xml:space="preserve"> PAGEREF _Toc389396934 \h </w:instrText>
            </w:r>
            <w:r>
              <w:rPr>
                <w:noProof/>
                <w:webHidden/>
              </w:rPr>
            </w:r>
            <w:r>
              <w:rPr>
                <w:noProof/>
                <w:webHidden/>
              </w:rPr>
              <w:fldChar w:fldCharType="separate"/>
            </w:r>
            <w:r w:rsidR="008E27E1">
              <w:rPr>
                <w:noProof/>
                <w:webHidden/>
              </w:rPr>
              <w:t>39</w:t>
            </w:r>
            <w:r>
              <w:rPr>
                <w:noProof/>
                <w:webHidden/>
              </w:rPr>
              <w:fldChar w:fldCharType="end"/>
            </w:r>
          </w:hyperlink>
        </w:p>
        <w:p w:rsidR="0020499E" w:rsidRDefault="0020499E">
          <w:pPr>
            <w:pStyle w:val="TOC1"/>
            <w:tabs>
              <w:tab w:val="right" w:leader="dot" w:pos="9771"/>
            </w:tabs>
            <w:rPr>
              <w:rFonts w:asciiTheme="minorHAnsi" w:eastAsiaTheme="minorEastAsia" w:hAnsiTheme="minorHAnsi" w:cstheme="minorBidi"/>
              <w:noProof/>
              <w:sz w:val="22"/>
              <w:szCs w:val="22"/>
              <w:lang w:val="fr-FR" w:eastAsia="fr-FR"/>
            </w:rPr>
          </w:pPr>
          <w:hyperlink w:anchor="_Toc389396935" w:history="1">
            <w:r w:rsidR="008E27E1">
              <w:rPr>
                <w:rStyle w:val="Hyperlink"/>
                <w:noProof/>
              </w:rPr>
              <w:t>CONCLUSION</w:t>
            </w:r>
            <w:r w:rsidR="008E27E1">
              <w:rPr>
                <w:noProof/>
                <w:webHidden/>
              </w:rPr>
              <w:tab/>
            </w:r>
            <w:r>
              <w:rPr>
                <w:noProof/>
                <w:webHidden/>
              </w:rPr>
              <w:fldChar w:fldCharType="begin"/>
            </w:r>
            <w:r w:rsidR="008E27E1">
              <w:rPr>
                <w:noProof/>
                <w:webHidden/>
              </w:rPr>
              <w:instrText xml:space="preserve"> PAGEREF _Toc389396935 \h </w:instrText>
            </w:r>
            <w:r>
              <w:rPr>
                <w:noProof/>
                <w:webHidden/>
              </w:rPr>
            </w:r>
            <w:r>
              <w:rPr>
                <w:noProof/>
                <w:webHidden/>
              </w:rPr>
              <w:fldChar w:fldCharType="separate"/>
            </w:r>
            <w:r w:rsidR="008E27E1">
              <w:rPr>
                <w:noProof/>
                <w:webHidden/>
              </w:rPr>
              <w:t>41</w:t>
            </w:r>
            <w:r>
              <w:rPr>
                <w:noProof/>
                <w:webHidden/>
              </w:rPr>
              <w:fldChar w:fldCharType="end"/>
            </w:r>
          </w:hyperlink>
        </w:p>
        <w:p w:rsidR="0020499E" w:rsidRDefault="0020499E">
          <w:pPr>
            <w:pStyle w:val="TOC1"/>
            <w:tabs>
              <w:tab w:val="right" w:leader="dot" w:pos="9771"/>
            </w:tabs>
            <w:rPr>
              <w:rFonts w:asciiTheme="minorHAnsi" w:eastAsiaTheme="minorEastAsia" w:hAnsiTheme="minorHAnsi" w:cstheme="minorBidi"/>
              <w:noProof/>
              <w:sz w:val="22"/>
              <w:szCs w:val="22"/>
              <w:lang w:val="fr-FR" w:eastAsia="fr-FR"/>
            </w:rPr>
          </w:pPr>
          <w:hyperlink w:anchor="_Toc389396936" w:history="1">
            <w:r w:rsidR="008E27E1">
              <w:rPr>
                <w:rStyle w:val="Hyperlink"/>
                <w:noProof/>
              </w:rPr>
              <w:t>REFERENCES</w:t>
            </w:r>
            <w:r w:rsidR="008E27E1">
              <w:rPr>
                <w:noProof/>
                <w:webHidden/>
              </w:rPr>
              <w:tab/>
            </w:r>
            <w:r>
              <w:rPr>
                <w:noProof/>
                <w:webHidden/>
              </w:rPr>
              <w:fldChar w:fldCharType="begin"/>
            </w:r>
            <w:r w:rsidR="008E27E1">
              <w:rPr>
                <w:noProof/>
                <w:webHidden/>
              </w:rPr>
              <w:instrText xml:space="preserve"> PAGEREF _Toc389396936 \h </w:instrText>
            </w:r>
            <w:r>
              <w:rPr>
                <w:noProof/>
                <w:webHidden/>
              </w:rPr>
            </w:r>
            <w:r>
              <w:rPr>
                <w:noProof/>
                <w:webHidden/>
              </w:rPr>
              <w:fldChar w:fldCharType="separate"/>
            </w:r>
            <w:r w:rsidR="008E27E1">
              <w:rPr>
                <w:noProof/>
                <w:webHidden/>
              </w:rPr>
              <w:t>42</w:t>
            </w:r>
            <w:r>
              <w:rPr>
                <w:noProof/>
                <w:webHidden/>
              </w:rPr>
              <w:fldChar w:fldCharType="end"/>
            </w:r>
          </w:hyperlink>
        </w:p>
        <w:p w:rsidR="0020499E" w:rsidRDefault="0020499E">
          <w:pPr>
            <w:pStyle w:val="TOC1"/>
            <w:tabs>
              <w:tab w:val="right" w:leader="dot" w:pos="9771"/>
            </w:tabs>
            <w:rPr>
              <w:rFonts w:asciiTheme="minorHAnsi" w:eastAsiaTheme="minorEastAsia" w:hAnsiTheme="minorHAnsi" w:cstheme="minorBidi"/>
              <w:noProof/>
              <w:sz w:val="22"/>
              <w:szCs w:val="22"/>
              <w:lang w:val="fr-FR" w:eastAsia="fr-FR"/>
            </w:rPr>
          </w:pPr>
          <w:hyperlink w:anchor="_Toc389396937" w:history="1">
            <w:r w:rsidR="008E27E1">
              <w:rPr>
                <w:rStyle w:val="Hyperlink"/>
                <w:noProof/>
              </w:rPr>
              <w:t>APPENDIX</w:t>
            </w:r>
            <w:r w:rsidR="008E27E1">
              <w:rPr>
                <w:noProof/>
                <w:webHidden/>
              </w:rPr>
              <w:tab/>
            </w:r>
            <w:r>
              <w:rPr>
                <w:noProof/>
                <w:webHidden/>
              </w:rPr>
              <w:fldChar w:fldCharType="begin"/>
            </w:r>
            <w:r w:rsidR="008E27E1">
              <w:rPr>
                <w:noProof/>
                <w:webHidden/>
              </w:rPr>
              <w:instrText xml:space="preserve"> PAGEREF _Toc389396937 \h </w:instrText>
            </w:r>
            <w:r>
              <w:rPr>
                <w:noProof/>
                <w:webHidden/>
              </w:rPr>
            </w:r>
            <w:r>
              <w:rPr>
                <w:noProof/>
                <w:webHidden/>
              </w:rPr>
              <w:fldChar w:fldCharType="separate"/>
            </w:r>
            <w:r w:rsidR="008E27E1">
              <w:rPr>
                <w:noProof/>
                <w:webHidden/>
              </w:rPr>
              <w:t>44</w:t>
            </w:r>
            <w:r>
              <w:rPr>
                <w:noProof/>
                <w:webHidden/>
              </w:rPr>
              <w:fldChar w:fldCharType="end"/>
            </w:r>
          </w:hyperlink>
        </w:p>
        <w:p w:rsidR="0020499E" w:rsidRDefault="0020499E">
          <w:pPr>
            <w:pStyle w:val="TOC2"/>
            <w:tabs>
              <w:tab w:val="right" w:leader="dot" w:pos="9771"/>
            </w:tabs>
            <w:rPr>
              <w:rFonts w:asciiTheme="minorHAnsi" w:eastAsiaTheme="minorEastAsia" w:hAnsiTheme="minorHAnsi" w:cstheme="minorBidi"/>
              <w:noProof/>
              <w:sz w:val="22"/>
              <w:szCs w:val="22"/>
              <w:lang w:val="fr-FR" w:eastAsia="fr-FR"/>
            </w:rPr>
          </w:pPr>
          <w:hyperlink w:anchor="_Toc389396938" w:history="1">
            <w:r w:rsidR="008E27E1">
              <w:rPr>
                <w:rStyle w:val="Hyperlink"/>
                <w:noProof/>
              </w:rPr>
              <w:t>Annex 1: List of institutions visited</w:t>
            </w:r>
            <w:r w:rsidR="008E27E1">
              <w:rPr>
                <w:noProof/>
                <w:webHidden/>
              </w:rPr>
              <w:tab/>
            </w:r>
            <w:r>
              <w:rPr>
                <w:noProof/>
                <w:webHidden/>
              </w:rPr>
              <w:fldChar w:fldCharType="begin"/>
            </w:r>
            <w:r w:rsidR="008E27E1">
              <w:rPr>
                <w:noProof/>
                <w:webHidden/>
              </w:rPr>
              <w:instrText xml:space="preserve"> PAGEREF _Toc389396938 \h </w:instrText>
            </w:r>
            <w:r>
              <w:rPr>
                <w:noProof/>
                <w:webHidden/>
              </w:rPr>
            </w:r>
            <w:r>
              <w:rPr>
                <w:noProof/>
                <w:webHidden/>
              </w:rPr>
              <w:fldChar w:fldCharType="separate"/>
            </w:r>
            <w:r w:rsidR="008E27E1">
              <w:rPr>
                <w:noProof/>
                <w:webHidden/>
              </w:rPr>
              <w:t>45</w:t>
            </w:r>
            <w:r>
              <w:rPr>
                <w:noProof/>
                <w:webHidden/>
              </w:rPr>
              <w:fldChar w:fldCharType="end"/>
            </w:r>
          </w:hyperlink>
        </w:p>
        <w:p w:rsidR="0020499E" w:rsidRDefault="0020499E">
          <w:pPr>
            <w:pStyle w:val="TOC2"/>
            <w:tabs>
              <w:tab w:val="right" w:leader="dot" w:pos="9771"/>
            </w:tabs>
            <w:rPr>
              <w:rFonts w:asciiTheme="minorHAnsi" w:eastAsiaTheme="minorEastAsia" w:hAnsiTheme="minorHAnsi" w:cstheme="minorBidi"/>
              <w:noProof/>
              <w:sz w:val="22"/>
              <w:szCs w:val="22"/>
              <w:lang w:val="fr-FR" w:eastAsia="fr-FR"/>
            </w:rPr>
          </w:pPr>
          <w:hyperlink w:anchor="_Toc389396939" w:history="1">
            <w:r w:rsidR="008E27E1">
              <w:rPr>
                <w:rStyle w:val="Hyperlink"/>
                <w:noProof/>
              </w:rPr>
              <w:t>Annex 2: Statistical information</w:t>
            </w:r>
            <w:r w:rsidR="008E27E1">
              <w:rPr>
                <w:noProof/>
                <w:webHidden/>
              </w:rPr>
              <w:tab/>
            </w:r>
            <w:r>
              <w:rPr>
                <w:noProof/>
                <w:webHidden/>
              </w:rPr>
              <w:fldChar w:fldCharType="begin"/>
            </w:r>
            <w:r w:rsidR="008E27E1">
              <w:rPr>
                <w:noProof/>
                <w:webHidden/>
              </w:rPr>
              <w:instrText xml:space="preserve"> PAGEREF _Toc389396939 \h </w:instrText>
            </w:r>
            <w:r>
              <w:rPr>
                <w:noProof/>
                <w:webHidden/>
              </w:rPr>
            </w:r>
            <w:r>
              <w:rPr>
                <w:noProof/>
                <w:webHidden/>
              </w:rPr>
              <w:fldChar w:fldCharType="separate"/>
            </w:r>
            <w:r w:rsidR="008E27E1">
              <w:rPr>
                <w:noProof/>
                <w:webHidden/>
              </w:rPr>
              <w:t>47</w:t>
            </w:r>
            <w:r>
              <w:rPr>
                <w:noProof/>
                <w:webHidden/>
              </w:rPr>
              <w:fldChar w:fldCharType="end"/>
            </w:r>
          </w:hyperlink>
        </w:p>
        <w:p w:rsidR="0020499E" w:rsidRDefault="0020499E">
          <w:pPr>
            <w:pStyle w:val="TOC2"/>
            <w:tabs>
              <w:tab w:val="right" w:leader="dot" w:pos="9771"/>
            </w:tabs>
            <w:rPr>
              <w:rFonts w:asciiTheme="minorHAnsi" w:eastAsiaTheme="minorEastAsia" w:hAnsiTheme="minorHAnsi" w:cstheme="minorBidi"/>
              <w:noProof/>
              <w:sz w:val="22"/>
              <w:szCs w:val="22"/>
              <w:lang w:val="fr-FR" w:eastAsia="fr-FR"/>
            </w:rPr>
          </w:pPr>
          <w:hyperlink w:anchor="_Toc389396940" w:history="1">
            <w:r w:rsidR="008E27E1">
              <w:rPr>
                <w:rStyle w:val="Hyperlink"/>
                <w:noProof/>
              </w:rPr>
              <w:t>Annex 3: R&amp;D related indicators per country in selected areas</w:t>
            </w:r>
            <w:r w:rsidR="008E27E1">
              <w:rPr>
                <w:noProof/>
                <w:webHidden/>
              </w:rPr>
              <w:tab/>
            </w:r>
            <w:r>
              <w:rPr>
                <w:noProof/>
                <w:webHidden/>
              </w:rPr>
              <w:fldChar w:fldCharType="begin"/>
            </w:r>
            <w:r w:rsidR="008E27E1">
              <w:rPr>
                <w:noProof/>
                <w:webHidden/>
              </w:rPr>
              <w:instrText xml:space="preserve"> PAGEREF _Toc389396940 \h </w:instrText>
            </w:r>
            <w:r>
              <w:rPr>
                <w:noProof/>
                <w:webHidden/>
              </w:rPr>
            </w:r>
            <w:r>
              <w:rPr>
                <w:noProof/>
                <w:webHidden/>
              </w:rPr>
              <w:fldChar w:fldCharType="separate"/>
            </w:r>
            <w:r w:rsidR="008E27E1">
              <w:rPr>
                <w:noProof/>
                <w:webHidden/>
              </w:rPr>
              <w:t>50</w:t>
            </w:r>
            <w:r>
              <w:rPr>
                <w:noProof/>
                <w:webHidden/>
              </w:rPr>
              <w:fldChar w:fldCharType="end"/>
            </w:r>
          </w:hyperlink>
        </w:p>
        <w:p w:rsidR="0020499E" w:rsidRDefault="0020499E">
          <w:pPr>
            <w:pStyle w:val="TOC2"/>
            <w:tabs>
              <w:tab w:val="right" w:leader="dot" w:pos="9771"/>
            </w:tabs>
            <w:rPr>
              <w:rFonts w:asciiTheme="minorHAnsi" w:eastAsiaTheme="minorEastAsia" w:hAnsiTheme="minorHAnsi" w:cstheme="minorBidi"/>
              <w:noProof/>
              <w:sz w:val="22"/>
              <w:szCs w:val="22"/>
              <w:lang w:val="fr-FR" w:eastAsia="fr-FR"/>
            </w:rPr>
          </w:pPr>
          <w:hyperlink w:anchor="_Toc389396941" w:history="1">
            <w:r w:rsidR="008E27E1">
              <w:rPr>
                <w:rStyle w:val="Hyperlink"/>
                <w:noProof/>
              </w:rPr>
              <w:t>Annex 4: Relative Specialization index (RSI): selected countries</w:t>
            </w:r>
            <w:r w:rsidR="008E27E1">
              <w:rPr>
                <w:noProof/>
                <w:webHidden/>
              </w:rPr>
              <w:tab/>
            </w:r>
            <w:r>
              <w:rPr>
                <w:noProof/>
                <w:webHidden/>
              </w:rPr>
              <w:fldChar w:fldCharType="begin"/>
            </w:r>
            <w:r w:rsidR="008E27E1">
              <w:rPr>
                <w:noProof/>
                <w:webHidden/>
              </w:rPr>
              <w:instrText xml:space="preserve"> PAGEREF _Toc389396941 \h </w:instrText>
            </w:r>
            <w:r>
              <w:rPr>
                <w:noProof/>
                <w:webHidden/>
              </w:rPr>
            </w:r>
            <w:r>
              <w:rPr>
                <w:noProof/>
                <w:webHidden/>
              </w:rPr>
              <w:fldChar w:fldCharType="separate"/>
            </w:r>
            <w:r w:rsidR="008E27E1">
              <w:rPr>
                <w:noProof/>
                <w:webHidden/>
              </w:rPr>
              <w:t>53</w:t>
            </w:r>
            <w:r>
              <w:rPr>
                <w:noProof/>
                <w:webHidden/>
              </w:rPr>
              <w:fldChar w:fldCharType="end"/>
            </w:r>
          </w:hyperlink>
        </w:p>
        <w:p w:rsidR="0020499E" w:rsidRDefault="0020499E">
          <w:pPr>
            <w:pStyle w:val="TOC2"/>
            <w:tabs>
              <w:tab w:val="right" w:leader="dot" w:pos="9771"/>
            </w:tabs>
            <w:rPr>
              <w:rFonts w:asciiTheme="minorHAnsi" w:eastAsiaTheme="minorEastAsia" w:hAnsiTheme="minorHAnsi" w:cstheme="minorBidi"/>
              <w:noProof/>
              <w:sz w:val="22"/>
              <w:szCs w:val="22"/>
              <w:lang w:val="fr-FR" w:eastAsia="fr-FR"/>
            </w:rPr>
          </w:pPr>
          <w:hyperlink w:anchor="_Toc389396942" w:history="1">
            <w:r w:rsidR="008E27E1">
              <w:rPr>
                <w:rStyle w:val="Hyperlink"/>
                <w:noProof/>
              </w:rPr>
              <w:t>Annex 5: Patent data update from S</w:t>
            </w:r>
            <w:r w:rsidR="008E27E1">
              <w:rPr>
                <w:rStyle w:val="Hyperlink"/>
                <w:noProof/>
              </w:rPr>
              <w:t>akpatenti</w:t>
            </w:r>
            <w:r w:rsidR="008E27E1">
              <w:rPr>
                <w:noProof/>
                <w:webHidden/>
              </w:rPr>
              <w:tab/>
            </w:r>
            <w:r>
              <w:rPr>
                <w:noProof/>
                <w:webHidden/>
              </w:rPr>
              <w:fldChar w:fldCharType="begin"/>
            </w:r>
            <w:r w:rsidR="008E27E1">
              <w:rPr>
                <w:noProof/>
                <w:webHidden/>
              </w:rPr>
              <w:instrText xml:space="preserve"> PAGEREF _Toc389396942 \h </w:instrText>
            </w:r>
            <w:r>
              <w:rPr>
                <w:noProof/>
                <w:webHidden/>
              </w:rPr>
            </w:r>
            <w:r>
              <w:rPr>
                <w:noProof/>
                <w:webHidden/>
              </w:rPr>
              <w:fldChar w:fldCharType="separate"/>
            </w:r>
            <w:r w:rsidR="008E27E1">
              <w:rPr>
                <w:noProof/>
                <w:webHidden/>
              </w:rPr>
              <w:t>55</w:t>
            </w:r>
            <w:r>
              <w:rPr>
                <w:noProof/>
                <w:webHidden/>
              </w:rPr>
              <w:fldChar w:fldCharType="end"/>
            </w:r>
          </w:hyperlink>
        </w:p>
        <w:p w:rsidR="0020499E" w:rsidRDefault="0020499E">
          <w:pPr>
            <w:pStyle w:val="TOC2"/>
            <w:tabs>
              <w:tab w:val="right" w:leader="dot" w:pos="9771"/>
            </w:tabs>
            <w:rPr>
              <w:rFonts w:asciiTheme="minorHAnsi" w:eastAsiaTheme="minorEastAsia" w:hAnsiTheme="minorHAnsi" w:cstheme="minorBidi"/>
              <w:noProof/>
              <w:sz w:val="22"/>
              <w:szCs w:val="22"/>
              <w:lang w:val="fr-FR" w:eastAsia="fr-FR"/>
            </w:rPr>
          </w:pPr>
          <w:hyperlink w:anchor="_Toc389396943" w:history="1">
            <w:r w:rsidR="008E27E1">
              <w:rPr>
                <w:rStyle w:val="Hyperlink"/>
                <w:noProof/>
              </w:rPr>
              <w:t>Annex 6: Cross country comparison of research assessment frameworks</w:t>
            </w:r>
            <w:r w:rsidR="008E27E1">
              <w:rPr>
                <w:noProof/>
                <w:webHidden/>
              </w:rPr>
              <w:tab/>
            </w:r>
            <w:r>
              <w:rPr>
                <w:noProof/>
                <w:webHidden/>
              </w:rPr>
              <w:fldChar w:fldCharType="begin"/>
            </w:r>
            <w:r w:rsidR="008E27E1">
              <w:rPr>
                <w:noProof/>
                <w:webHidden/>
              </w:rPr>
              <w:instrText xml:space="preserve"> PAGEREF _Toc389396943 \h </w:instrText>
            </w:r>
            <w:r>
              <w:rPr>
                <w:noProof/>
                <w:webHidden/>
              </w:rPr>
            </w:r>
            <w:r>
              <w:rPr>
                <w:noProof/>
                <w:webHidden/>
              </w:rPr>
              <w:fldChar w:fldCharType="separate"/>
            </w:r>
            <w:r w:rsidR="008E27E1">
              <w:rPr>
                <w:noProof/>
                <w:webHidden/>
              </w:rPr>
              <w:t>56</w:t>
            </w:r>
            <w:r>
              <w:rPr>
                <w:noProof/>
                <w:webHidden/>
              </w:rPr>
              <w:fldChar w:fldCharType="end"/>
            </w:r>
          </w:hyperlink>
        </w:p>
        <w:p w:rsidR="0020499E" w:rsidRDefault="0020499E">
          <w:pPr>
            <w:rPr>
              <w:noProof/>
            </w:rPr>
          </w:pPr>
          <w:r>
            <w:rPr>
              <w:noProof/>
            </w:rPr>
            <w:fldChar w:fldCharType="end"/>
          </w:r>
        </w:p>
      </w:sdtContent>
    </w:sdt>
    <w:p w:rsidR="0020499E" w:rsidRDefault="008E27E1">
      <w:pPr>
        <w:autoSpaceDE/>
        <w:autoSpaceDN/>
        <w:adjustRightInd/>
        <w:jc w:val="left"/>
        <w:rPr>
          <w:b/>
          <w:sz w:val="32"/>
          <w:szCs w:val="32"/>
        </w:rPr>
      </w:pPr>
      <w:r>
        <w:br w:type="page"/>
      </w:r>
    </w:p>
    <w:p w:rsidR="0020499E" w:rsidRDefault="008E27E1">
      <w:pPr>
        <w:pStyle w:val="Heading1"/>
        <w:numPr>
          <w:ilvl w:val="0"/>
          <w:numId w:val="0"/>
        </w:numPr>
        <w:ind w:left="360" w:hanging="360"/>
        <w:jc w:val="left"/>
      </w:pPr>
      <w:bookmarkStart w:id="0" w:name="_Toc389396888"/>
      <w:r>
        <w:lastRenderedPageBreak/>
        <w:t>LIST OF ACRONYMS</w:t>
      </w:r>
      <w:bookmarkEnd w:id="0"/>
    </w:p>
    <w:p w:rsidR="0020499E" w:rsidRDefault="0020499E"/>
    <w:p w:rsidR="0020499E" w:rsidRDefault="008E27E1">
      <w:pPr>
        <w:pStyle w:val="ListParagraph"/>
        <w:numPr>
          <w:ilvl w:val="0"/>
          <w:numId w:val="47"/>
        </w:numPr>
        <w:rPr>
          <w:rFonts w:ascii="Verdana" w:hAnsi="Verdana"/>
          <w:sz w:val="20"/>
          <w:szCs w:val="20"/>
        </w:rPr>
      </w:pPr>
      <w:r>
        <w:rPr>
          <w:rFonts w:ascii="Verdana" w:hAnsi="Verdana"/>
          <w:sz w:val="20"/>
          <w:szCs w:val="20"/>
        </w:rPr>
        <w:t xml:space="preserve">AI: Activity Index </w:t>
      </w:r>
    </w:p>
    <w:p w:rsidR="0020499E" w:rsidRDefault="008E27E1">
      <w:pPr>
        <w:pStyle w:val="ListParagraph"/>
        <w:numPr>
          <w:ilvl w:val="0"/>
          <w:numId w:val="47"/>
        </w:numPr>
        <w:rPr>
          <w:rFonts w:ascii="Verdana" w:hAnsi="Verdana"/>
          <w:sz w:val="20"/>
          <w:szCs w:val="20"/>
          <w:lang w:val="fr-FR"/>
        </w:rPr>
      </w:pPr>
      <w:r>
        <w:rPr>
          <w:rFonts w:ascii="Verdana" w:hAnsi="Verdana"/>
          <w:sz w:val="20"/>
          <w:szCs w:val="20"/>
          <w:lang w:val="fr-FR"/>
        </w:rPr>
        <w:t xml:space="preserve">CERN: </w:t>
      </w:r>
      <w:r>
        <w:rPr>
          <w:rFonts w:ascii="Verdana" w:hAnsi="Verdana"/>
          <w:bCs/>
          <w:sz w:val="20"/>
          <w:szCs w:val="20"/>
          <w:lang w:val="fr-FR"/>
        </w:rPr>
        <w:t>Conseil Européen pour la Recherche Nucléaire (European Council for NuclearResearch)</w:t>
      </w:r>
    </w:p>
    <w:p w:rsidR="0020499E" w:rsidRDefault="008E27E1">
      <w:pPr>
        <w:pStyle w:val="ListParagraph"/>
        <w:numPr>
          <w:ilvl w:val="0"/>
          <w:numId w:val="47"/>
        </w:numPr>
        <w:rPr>
          <w:rFonts w:ascii="Verdana" w:hAnsi="Verdana"/>
          <w:sz w:val="20"/>
          <w:szCs w:val="20"/>
          <w:lang w:val="fr-FR"/>
        </w:rPr>
      </w:pPr>
      <w:r>
        <w:rPr>
          <w:rFonts w:ascii="Verdana" w:hAnsi="Verdana"/>
          <w:sz w:val="20"/>
          <w:szCs w:val="20"/>
          <w:lang w:val="fr-FR"/>
        </w:rPr>
        <w:t>CI: Citation Impact</w:t>
      </w:r>
    </w:p>
    <w:p w:rsidR="0020499E" w:rsidRDefault="008E27E1">
      <w:pPr>
        <w:pStyle w:val="ListParagraph"/>
        <w:numPr>
          <w:ilvl w:val="0"/>
          <w:numId w:val="47"/>
        </w:numPr>
        <w:rPr>
          <w:rFonts w:ascii="Verdana" w:hAnsi="Verdana"/>
          <w:sz w:val="20"/>
          <w:szCs w:val="20"/>
        </w:rPr>
      </w:pPr>
      <w:r>
        <w:rPr>
          <w:rFonts w:ascii="Verdana" w:hAnsi="Verdana"/>
          <w:sz w:val="20"/>
          <w:szCs w:val="20"/>
        </w:rPr>
        <w:t>CI: Citation Impact Index</w:t>
      </w:r>
    </w:p>
    <w:p w:rsidR="0020499E" w:rsidRDefault="008E27E1">
      <w:pPr>
        <w:pStyle w:val="ListParagraph"/>
        <w:numPr>
          <w:ilvl w:val="0"/>
          <w:numId w:val="47"/>
        </w:numPr>
        <w:rPr>
          <w:rFonts w:ascii="Verdana" w:hAnsi="Verdana"/>
          <w:sz w:val="20"/>
          <w:szCs w:val="20"/>
        </w:rPr>
      </w:pPr>
      <w:r>
        <w:rPr>
          <w:rFonts w:ascii="Verdana" w:hAnsi="Verdana"/>
          <w:sz w:val="20"/>
          <w:szCs w:val="20"/>
          <w:lang w:val="en-GB"/>
        </w:rPr>
        <w:t xml:space="preserve">GERD: </w:t>
      </w:r>
      <w:r>
        <w:rPr>
          <w:rFonts w:ascii="Verdana" w:hAnsi="Verdana"/>
          <w:sz w:val="20"/>
          <w:szCs w:val="20"/>
        </w:rPr>
        <w:t xml:space="preserve">Gross Expenditure on </w:t>
      </w:r>
      <w:r>
        <w:rPr>
          <w:rFonts w:ascii="Verdana" w:hAnsi="Verdana"/>
          <w:sz w:val="20"/>
          <w:szCs w:val="20"/>
        </w:rPr>
        <w:t>Research and Development</w:t>
      </w:r>
    </w:p>
    <w:p w:rsidR="0020499E" w:rsidRDefault="008E27E1">
      <w:pPr>
        <w:pStyle w:val="ListParagraph"/>
        <w:numPr>
          <w:ilvl w:val="0"/>
          <w:numId w:val="47"/>
        </w:numPr>
        <w:rPr>
          <w:rFonts w:ascii="Verdana" w:hAnsi="Verdana"/>
          <w:sz w:val="20"/>
          <w:szCs w:val="20"/>
        </w:rPr>
      </w:pPr>
      <w:r>
        <w:rPr>
          <w:rFonts w:ascii="Verdana" w:hAnsi="Verdana"/>
          <w:sz w:val="20"/>
          <w:szCs w:val="20"/>
        </w:rPr>
        <w:t>H index: Hirsch index</w:t>
      </w:r>
    </w:p>
    <w:p w:rsidR="0020499E" w:rsidRDefault="008E27E1">
      <w:pPr>
        <w:pStyle w:val="ListParagraph"/>
        <w:numPr>
          <w:ilvl w:val="0"/>
          <w:numId w:val="47"/>
        </w:numPr>
        <w:rPr>
          <w:rFonts w:ascii="Verdana" w:hAnsi="Verdana"/>
          <w:sz w:val="20"/>
          <w:szCs w:val="20"/>
        </w:rPr>
      </w:pPr>
      <w:r>
        <w:rPr>
          <w:rFonts w:ascii="Verdana" w:hAnsi="Verdana"/>
          <w:sz w:val="20"/>
          <w:szCs w:val="20"/>
        </w:rPr>
        <w:t xml:space="preserve">IFEF: Internal Field Efficiency Index </w:t>
      </w:r>
    </w:p>
    <w:p w:rsidR="0020499E" w:rsidRDefault="008E27E1">
      <w:pPr>
        <w:pStyle w:val="ListParagraph"/>
        <w:numPr>
          <w:ilvl w:val="0"/>
          <w:numId w:val="47"/>
        </w:numPr>
        <w:rPr>
          <w:rFonts w:ascii="Verdana" w:hAnsi="Verdana"/>
          <w:sz w:val="20"/>
          <w:szCs w:val="20"/>
        </w:rPr>
      </w:pPr>
      <w:r>
        <w:rPr>
          <w:rFonts w:ascii="Verdana" w:hAnsi="Verdana"/>
          <w:sz w:val="20"/>
          <w:szCs w:val="20"/>
        </w:rPr>
        <w:t>IP: intellectual property</w:t>
      </w:r>
    </w:p>
    <w:p w:rsidR="0020499E" w:rsidRDefault="008E27E1">
      <w:pPr>
        <w:pStyle w:val="ListParagraph"/>
        <w:numPr>
          <w:ilvl w:val="0"/>
          <w:numId w:val="47"/>
        </w:numPr>
        <w:rPr>
          <w:rFonts w:ascii="Verdana" w:hAnsi="Verdana"/>
          <w:sz w:val="20"/>
          <w:szCs w:val="20"/>
        </w:rPr>
      </w:pPr>
      <w:r>
        <w:rPr>
          <w:rFonts w:ascii="Verdana" w:hAnsi="Verdana"/>
          <w:sz w:val="20"/>
          <w:szCs w:val="20"/>
        </w:rPr>
        <w:t>LEPL: Legal Entities of Public Law</w:t>
      </w:r>
    </w:p>
    <w:p w:rsidR="0020499E" w:rsidRDefault="008E27E1">
      <w:pPr>
        <w:pStyle w:val="ListParagraph"/>
        <w:numPr>
          <w:ilvl w:val="0"/>
          <w:numId w:val="47"/>
        </w:numPr>
        <w:rPr>
          <w:rFonts w:ascii="Verdana" w:hAnsi="Verdana"/>
          <w:sz w:val="20"/>
          <w:szCs w:val="20"/>
        </w:rPr>
      </w:pPr>
      <w:r>
        <w:rPr>
          <w:rFonts w:ascii="Verdana" w:hAnsi="Verdana"/>
          <w:sz w:val="20"/>
          <w:szCs w:val="20"/>
        </w:rPr>
        <w:t xml:space="preserve">RSI: Relative Specialization Index </w:t>
      </w:r>
    </w:p>
    <w:p w:rsidR="0020499E" w:rsidRDefault="008E27E1">
      <w:pPr>
        <w:pStyle w:val="ListParagraph"/>
        <w:numPr>
          <w:ilvl w:val="0"/>
          <w:numId w:val="47"/>
        </w:numPr>
        <w:rPr>
          <w:rFonts w:ascii="Verdana" w:hAnsi="Verdana"/>
          <w:sz w:val="20"/>
          <w:szCs w:val="20"/>
          <w:lang w:val="en-GB"/>
        </w:rPr>
      </w:pPr>
      <w:r>
        <w:rPr>
          <w:rFonts w:ascii="Verdana" w:hAnsi="Verdana"/>
          <w:sz w:val="20"/>
          <w:szCs w:val="20"/>
          <w:lang w:val="en-GB"/>
        </w:rPr>
        <w:t xml:space="preserve">SRNSF: ShotaRustaveli National Science Foundation </w:t>
      </w:r>
    </w:p>
    <w:p w:rsidR="0020499E" w:rsidRDefault="008E27E1">
      <w:pPr>
        <w:pStyle w:val="ListParagraph"/>
        <w:numPr>
          <w:ilvl w:val="0"/>
          <w:numId w:val="47"/>
        </w:numPr>
        <w:rPr>
          <w:rFonts w:ascii="Verdana" w:hAnsi="Verdana"/>
          <w:sz w:val="20"/>
          <w:szCs w:val="20"/>
          <w:lang w:val="en-GB"/>
        </w:rPr>
      </w:pPr>
      <w:r>
        <w:rPr>
          <w:rFonts w:ascii="Verdana" w:hAnsi="Verdana"/>
          <w:sz w:val="20"/>
          <w:szCs w:val="20"/>
          <w:lang w:val="en-GB"/>
        </w:rPr>
        <w:t xml:space="preserve">WIPO: </w:t>
      </w:r>
      <w:r>
        <w:rPr>
          <w:rFonts w:ascii="Verdana" w:hAnsi="Verdana"/>
          <w:sz w:val="20"/>
          <w:szCs w:val="20"/>
        </w:rPr>
        <w:t xml:space="preserve">World </w:t>
      </w:r>
      <w:r>
        <w:rPr>
          <w:rFonts w:ascii="Verdana" w:hAnsi="Verdana"/>
          <w:sz w:val="20"/>
          <w:szCs w:val="20"/>
        </w:rPr>
        <w:t>Intellectual Property Organization</w:t>
      </w:r>
    </w:p>
    <w:p w:rsidR="0020499E" w:rsidRDefault="008E27E1">
      <w:pPr>
        <w:pStyle w:val="Heading1"/>
        <w:numPr>
          <w:ilvl w:val="0"/>
          <w:numId w:val="0"/>
        </w:numPr>
        <w:ind w:left="360" w:hanging="360"/>
      </w:pPr>
      <w:r>
        <w:br w:type="page"/>
      </w:r>
      <w:bookmarkStart w:id="1" w:name="_Toc389396889"/>
      <w:r>
        <w:lastRenderedPageBreak/>
        <w:t>EXECUTIVE SUMMARY</w:t>
      </w:r>
      <w:bookmarkEnd w:id="1"/>
    </w:p>
    <w:p w:rsidR="0020499E" w:rsidRDefault="0020499E">
      <w:pPr>
        <w:pStyle w:val="ListParagraph"/>
        <w:autoSpaceDE/>
        <w:autoSpaceDN/>
        <w:adjustRightInd/>
        <w:rPr>
          <w:rFonts w:ascii="Verdana" w:hAnsi="Verdana" w:cs="Arial"/>
          <w:sz w:val="20"/>
          <w:szCs w:val="20"/>
          <w:lang w:eastAsia="fr-FR"/>
        </w:rPr>
      </w:pPr>
    </w:p>
    <w:p w:rsidR="0020499E" w:rsidRDefault="008E27E1">
      <w:pPr>
        <w:pStyle w:val="ListParagraph"/>
        <w:numPr>
          <w:ilvl w:val="0"/>
          <w:numId w:val="10"/>
        </w:numPr>
        <w:autoSpaceDE/>
        <w:autoSpaceDN/>
        <w:adjustRightInd/>
      </w:pPr>
      <w:r>
        <w:rPr>
          <w:rFonts w:ascii="Verdana" w:hAnsi="Verdana"/>
          <w:sz w:val="20"/>
          <w:szCs w:val="20"/>
        </w:rPr>
        <w:t xml:space="preserve">The remarkable resilience of the research community is the main strength of Georgian research today and the main reason why there is something left to save. </w:t>
      </w:r>
    </w:p>
    <w:p w:rsidR="0020499E" w:rsidRDefault="008E27E1">
      <w:pPr>
        <w:pStyle w:val="ListParagraph"/>
        <w:numPr>
          <w:ilvl w:val="1"/>
          <w:numId w:val="10"/>
        </w:numPr>
        <w:autoSpaceDE/>
        <w:autoSpaceDN/>
        <w:adjustRightInd/>
      </w:pPr>
      <w:r>
        <w:rPr>
          <w:rFonts w:ascii="Verdana" w:hAnsi="Verdana" w:cs="Arial"/>
          <w:sz w:val="20"/>
          <w:szCs w:val="20"/>
          <w:lang w:eastAsia="fr-FR"/>
        </w:rPr>
        <w:t xml:space="preserve">Georgia </w:t>
      </w:r>
      <w:r>
        <w:rPr>
          <w:rFonts w:ascii="Verdana" w:hAnsi="Verdana"/>
          <w:sz w:val="20"/>
          <w:szCs w:val="20"/>
        </w:rPr>
        <w:t>has managed to maintain areas of ex</w:t>
      </w:r>
      <w:r>
        <w:rPr>
          <w:rFonts w:ascii="Verdana" w:hAnsi="Verdana"/>
          <w:sz w:val="20"/>
          <w:szCs w:val="20"/>
        </w:rPr>
        <w:t xml:space="preserve">cellence, notably in physics, mathematics and to a lesser extent in medical and health sciences. </w:t>
      </w:r>
    </w:p>
    <w:p w:rsidR="0020499E" w:rsidRDefault="008E27E1">
      <w:pPr>
        <w:pStyle w:val="ListParagraph"/>
        <w:numPr>
          <w:ilvl w:val="1"/>
          <w:numId w:val="10"/>
        </w:numPr>
        <w:autoSpaceDE/>
        <w:autoSpaceDN/>
        <w:adjustRightInd/>
      </w:pPr>
      <w:r>
        <w:rPr>
          <w:rFonts w:ascii="Verdana" w:hAnsi="Verdana" w:cs="Arial"/>
          <w:sz w:val="20"/>
          <w:szCs w:val="20"/>
          <w:lang w:eastAsia="fr-FR"/>
        </w:rPr>
        <w:t>In terms of publications, it has a quantitatively lower, but qualitatively higher (impact) output than comparable former Soviet Countries. However, a</w:t>
      </w:r>
      <w:r>
        <w:rPr>
          <w:rFonts w:ascii="Verdana" w:hAnsi="Verdana"/>
          <w:sz w:val="20"/>
          <w:szCs w:val="20"/>
        </w:rPr>
        <w:t>pproximat</w:t>
      </w:r>
      <w:r>
        <w:rPr>
          <w:rFonts w:ascii="Verdana" w:hAnsi="Verdana"/>
          <w:sz w:val="20"/>
          <w:szCs w:val="20"/>
        </w:rPr>
        <w:t xml:space="preserve">ely 80% of Georgia’s total output is produced in the frame of joint projects with other countries. </w:t>
      </w:r>
    </w:p>
    <w:p w:rsidR="0020499E" w:rsidRDefault="008E27E1">
      <w:pPr>
        <w:pStyle w:val="ListParagraph"/>
        <w:numPr>
          <w:ilvl w:val="1"/>
          <w:numId w:val="10"/>
        </w:numPr>
        <w:autoSpaceDE/>
        <w:autoSpaceDN/>
        <w:adjustRightInd/>
      </w:pPr>
      <w:r>
        <w:rPr>
          <w:rFonts w:ascii="Verdana" w:hAnsi="Verdana"/>
          <w:sz w:val="20"/>
          <w:szCs w:val="20"/>
        </w:rPr>
        <w:t xml:space="preserve">The main partner countries are USA, Germany, Russia and Italy, with physics as the leading field. </w:t>
      </w:r>
    </w:p>
    <w:p w:rsidR="0020499E" w:rsidRDefault="008E27E1">
      <w:pPr>
        <w:pStyle w:val="ListParagraph"/>
        <w:numPr>
          <w:ilvl w:val="1"/>
          <w:numId w:val="10"/>
        </w:numPr>
        <w:autoSpaceDE/>
        <w:autoSpaceDN/>
        <w:adjustRightInd/>
        <w:rPr>
          <w:rFonts w:ascii="Verdana" w:hAnsi="Verdana"/>
          <w:sz w:val="20"/>
          <w:szCs w:val="20"/>
        </w:rPr>
      </w:pPr>
      <w:r>
        <w:rPr>
          <w:rFonts w:ascii="Verdana" w:hAnsi="Verdana"/>
          <w:sz w:val="20"/>
          <w:szCs w:val="20"/>
        </w:rPr>
        <w:t xml:space="preserve">In spite of the average age of its members and in sharp </w:t>
      </w:r>
      <w:r>
        <w:rPr>
          <w:rFonts w:ascii="Verdana" w:hAnsi="Verdana"/>
          <w:sz w:val="20"/>
          <w:szCs w:val="20"/>
        </w:rPr>
        <w:t>contrastwith existing research equipment and facilities, the Georgian research community has already adopted a twenty first century research lifestyle, from peer review and bibliometric assessment to competitive funding.  All the researchers we met are pre</w:t>
      </w:r>
      <w:r>
        <w:rPr>
          <w:rFonts w:ascii="Verdana" w:hAnsi="Verdana"/>
          <w:sz w:val="20"/>
          <w:szCs w:val="20"/>
        </w:rPr>
        <w:t>pared and willing to have their work assessed</w:t>
      </w:r>
      <w:r>
        <w:rPr>
          <w:rFonts w:ascii="Verdana" w:hAnsi="Verdana" w:cs="Arial"/>
          <w:sz w:val="20"/>
          <w:szCs w:val="20"/>
          <w:lang w:eastAsia="fr-FR"/>
        </w:rPr>
        <w:t>.</w:t>
      </w:r>
    </w:p>
    <w:p w:rsidR="0020499E" w:rsidRDefault="0020499E">
      <w:pPr>
        <w:pStyle w:val="ListParagraph"/>
        <w:autoSpaceDE/>
        <w:autoSpaceDN/>
        <w:adjustRightInd/>
        <w:ind w:left="1440"/>
        <w:rPr>
          <w:rFonts w:ascii="Verdana" w:hAnsi="Verdana" w:cs="Arial"/>
          <w:b/>
          <w:sz w:val="20"/>
          <w:szCs w:val="20"/>
          <w:lang w:eastAsia="fr-FR"/>
        </w:rPr>
      </w:pPr>
    </w:p>
    <w:p w:rsidR="0020499E" w:rsidRDefault="008E27E1">
      <w:pPr>
        <w:pStyle w:val="ListParagraph"/>
        <w:numPr>
          <w:ilvl w:val="0"/>
          <w:numId w:val="10"/>
        </w:numPr>
        <w:autoSpaceDE/>
        <w:autoSpaceDN/>
        <w:adjustRightInd/>
        <w:rPr>
          <w:rFonts w:ascii="Verdana" w:hAnsi="Verdana"/>
          <w:sz w:val="20"/>
          <w:szCs w:val="20"/>
        </w:rPr>
      </w:pPr>
      <w:r>
        <w:rPr>
          <w:rFonts w:ascii="Verdana" w:hAnsi="Verdana" w:cs="Arial"/>
          <w:sz w:val="20"/>
          <w:szCs w:val="20"/>
          <w:lang w:eastAsia="fr-FR"/>
        </w:rPr>
        <w:t>The problems that have plagued Georgian research for years are now producing visible effects and the window to resolve them has narrowed to the point that timing has become a problem on its own.</w:t>
      </w:r>
    </w:p>
    <w:p w:rsidR="0020499E" w:rsidRDefault="008E27E1">
      <w:pPr>
        <w:pStyle w:val="ListParagraph"/>
        <w:numPr>
          <w:ilvl w:val="1"/>
          <w:numId w:val="10"/>
        </w:numPr>
        <w:autoSpaceDE/>
        <w:autoSpaceDN/>
        <w:adjustRightInd/>
        <w:rPr>
          <w:rFonts w:ascii="Verdana" w:hAnsi="Verdana"/>
          <w:sz w:val="20"/>
          <w:szCs w:val="20"/>
        </w:rPr>
      </w:pPr>
      <w:r>
        <w:rPr>
          <w:rFonts w:ascii="Verdana" w:hAnsi="Verdana" w:cs="Arial"/>
          <w:sz w:val="20"/>
          <w:szCs w:val="20"/>
          <w:lang w:eastAsia="fr-FR"/>
        </w:rPr>
        <w:t>The first pro</w:t>
      </w:r>
      <w:r>
        <w:rPr>
          <w:rFonts w:ascii="Verdana" w:hAnsi="Verdana" w:cs="Arial"/>
          <w:sz w:val="20"/>
          <w:szCs w:val="20"/>
          <w:lang w:eastAsia="fr-FR"/>
        </w:rPr>
        <w:t xml:space="preserve">blem is economic: given its current budget, Georgian research is no longer funded. </w:t>
      </w:r>
      <w:r>
        <w:rPr>
          <w:rFonts w:ascii="Verdana" w:hAnsi="Verdana"/>
          <w:sz w:val="20"/>
          <w:szCs w:val="20"/>
          <w:lang w:val="en-GB"/>
        </w:rPr>
        <w:t xml:space="preserve">This explains Georgia’s </w:t>
      </w:r>
      <w:r>
        <w:rPr>
          <w:rFonts w:ascii="Verdana" w:hAnsi="Verdana"/>
          <w:sz w:val="20"/>
          <w:szCs w:val="20"/>
        </w:rPr>
        <w:t xml:space="preserve">relative decline in patent filings. The degraded </w:t>
      </w:r>
      <w:r>
        <w:rPr>
          <w:rFonts w:ascii="Verdana" w:hAnsi="Verdana"/>
          <w:sz w:val="20"/>
          <w:szCs w:val="20"/>
          <w:lang w:val="en-GB"/>
        </w:rPr>
        <w:t xml:space="preserve">image of the </w:t>
      </w:r>
      <w:r>
        <w:rPr>
          <w:rFonts w:ascii="Verdana" w:hAnsi="Verdana"/>
          <w:sz w:val="20"/>
          <w:szCs w:val="20"/>
        </w:rPr>
        <w:t xml:space="preserve">the </w:t>
      </w:r>
      <w:r>
        <w:rPr>
          <w:rFonts w:ascii="Verdana" w:hAnsi="Verdana"/>
          <w:sz w:val="20"/>
          <w:szCs w:val="20"/>
          <w:lang w:val="en-GB"/>
        </w:rPr>
        <w:t>National Science Foundation is another consequence: established to promote excellen</w:t>
      </w:r>
      <w:r>
        <w:rPr>
          <w:rFonts w:ascii="Verdana" w:hAnsi="Verdana"/>
          <w:sz w:val="20"/>
          <w:szCs w:val="20"/>
          <w:lang w:val="en-GB"/>
        </w:rPr>
        <w:t xml:space="preserve">ce in scientific research, it has </w:t>
      </w:r>
      <w:r>
        <w:rPr>
          <w:rFonts w:ascii="Verdana" w:hAnsi="Verdana"/>
          <w:i/>
          <w:sz w:val="20"/>
          <w:szCs w:val="20"/>
          <w:lang w:val="en-GB"/>
        </w:rPr>
        <w:t>de facto</w:t>
      </w:r>
      <w:r>
        <w:rPr>
          <w:rFonts w:ascii="Verdana" w:hAnsi="Verdana"/>
          <w:sz w:val="20"/>
          <w:szCs w:val="20"/>
          <w:lang w:val="en-GB"/>
        </w:rPr>
        <w:t xml:space="preserve"> become an institution whose primary task is to manage scarcity in research funding.</w:t>
      </w:r>
    </w:p>
    <w:p w:rsidR="0020499E" w:rsidRDefault="008E27E1">
      <w:pPr>
        <w:pStyle w:val="ListParagraph"/>
        <w:numPr>
          <w:ilvl w:val="1"/>
          <w:numId w:val="10"/>
        </w:numPr>
        <w:autoSpaceDE/>
        <w:autoSpaceDN/>
        <w:adjustRightInd/>
        <w:rPr>
          <w:rFonts w:ascii="Verdana" w:hAnsi="Verdana"/>
          <w:sz w:val="20"/>
          <w:szCs w:val="20"/>
        </w:rPr>
      </w:pPr>
      <w:r>
        <w:rPr>
          <w:rFonts w:ascii="Verdana" w:hAnsi="Verdana" w:cs="Arial"/>
          <w:sz w:val="20"/>
          <w:szCs w:val="20"/>
          <w:lang w:eastAsia="fr-FR"/>
        </w:rPr>
        <w:t>The second problem is organizational: universities and institutes have been formally merged in 2010 to bring research into academ</w:t>
      </w:r>
      <w:r>
        <w:rPr>
          <w:rFonts w:ascii="Verdana" w:hAnsi="Verdana" w:cs="Arial"/>
          <w:sz w:val="20"/>
          <w:szCs w:val="20"/>
          <w:lang w:eastAsia="fr-FR"/>
        </w:rPr>
        <w:t xml:space="preserve">ia, but professors and researchers have kept a different status and the latter remain significantly disadvantaged in terms of salary, career prospects and working conditions. </w:t>
      </w:r>
    </w:p>
    <w:p w:rsidR="0020499E" w:rsidRDefault="008E27E1">
      <w:pPr>
        <w:pStyle w:val="ListParagraph"/>
        <w:numPr>
          <w:ilvl w:val="0"/>
          <w:numId w:val="11"/>
        </w:numPr>
        <w:rPr>
          <w:rFonts w:ascii="Verdana" w:hAnsi="Verdana"/>
          <w:sz w:val="20"/>
          <w:szCs w:val="20"/>
        </w:rPr>
      </w:pPr>
      <w:r>
        <w:rPr>
          <w:rFonts w:ascii="Verdana" w:hAnsi="Verdana" w:cs="Arial"/>
          <w:sz w:val="20"/>
          <w:szCs w:val="20"/>
          <w:lang w:eastAsia="fr-FR"/>
        </w:rPr>
        <w:t>The third problem is a consequence of the first two: higher education institutio</w:t>
      </w:r>
      <w:r>
        <w:rPr>
          <w:rFonts w:ascii="Verdana" w:hAnsi="Verdana" w:cs="Arial"/>
          <w:sz w:val="20"/>
          <w:szCs w:val="20"/>
          <w:lang w:eastAsia="fr-FR"/>
        </w:rPr>
        <w:t xml:space="preserve">ns no longer </w:t>
      </w:r>
      <w:r>
        <w:rPr>
          <w:rFonts w:ascii="Verdana" w:hAnsi="Verdana"/>
          <w:sz w:val="20"/>
          <w:szCs w:val="20"/>
        </w:rPr>
        <w:t>produce researchers. This threatens Georgian research as a whole: the country lacks a new generation of scientists capable and willing to take over a research sector predominantly populated by aging researchers that will retire in the next few</w:t>
      </w:r>
      <w:r>
        <w:rPr>
          <w:rFonts w:ascii="Verdana" w:hAnsi="Verdana"/>
          <w:sz w:val="20"/>
          <w:szCs w:val="20"/>
        </w:rPr>
        <w:t xml:space="preserve"> years. It is thus critical to ensure that both the forthcoming reform of higher education and Georgia’s innovation policy introduce incentives to go to science: doctoral studies should be the first stage of a research career track with clear options and r</w:t>
      </w:r>
      <w:r>
        <w:rPr>
          <w:rFonts w:ascii="Verdana" w:hAnsi="Verdana"/>
          <w:sz w:val="20"/>
          <w:szCs w:val="20"/>
        </w:rPr>
        <w:t>ewards.</w:t>
      </w:r>
    </w:p>
    <w:p w:rsidR="0020499E" w:rsidRDefault="0020499E">
      <w:pPr>
        <w:pStyle w:val="ListParagraph"/>
        <w:rPr>
          <w:rFonts w:ascii="Verdana" w:hAnsi="Verdana" w:cs="Arial"/>
          <w:sz w:val="20"/>
          <w:szCs w:val="20"/>
          <w:lang w:eastAsia="fr-FR"/>
        </w:rPr>
      </w:pPr>
    </w:p>
    <w:p w:rsidR="0020499E" w:rsidRDefault="008E27E1">
      <w:pPr>
        <w:pStyle w:val="ListParagraph"/>
        <w:numPr>
          <w:ilvl w:val="0"/>
          <w:numId w:val="10"/>
        </w:numPr>
        <w:rPr>
          <w:rFonts w:ascii="Verdana" w:hAnsi="Verdana"/>
          <w:sz w:val="20"/>
          <w:szCs w:val="20"/>
        </w:rPr>
      </w:pPr>
      <w:r>
        <w:rPr>
          <w:rFonts w:ascii="Verdana" w:hAnsi="Verdana"/>
          <w:sz w:val="20"/>
          <w:szCs w:val="20"/>
        </w:rPr>
        <w:t xml:space="preserve">Due to </w:t>
      </w:r>
      <w:r>
        <w:rPr>
          <w:rFonts w:ascii="Verdana" w:hAnsi="Verdana" w:cs="Arial"/>
          <w:sz w:val="20"/>
          <w:szCs w:val="20"/>
          <w:lang w:eastAsia="fr-FR"/>
        </w:rPr>
        <w:t>the current scarcity of research funding, research fields must be prioritized. This is a difficult task everywhere. In Georgia it is even more difficult because:</w:t>
      </w:r>
    </w:p>
    <w:p w:rsidR="0020499E" w:rsidRDefault="008E27E1">
      <w:pPr>
        <w:pStyle w:val="ListParagraph"/>
        <w:numPr>
          <w:ilvl w:val="1"/>
          <w:numId w:val="10"/>
        </w:numPr>
        <w:rPr>
          <w:rFonts w:ascii="Verdana" w:hAnsi="Verdana"/>
          <w:sz w:val="20"/>
          <w:szCs w:val="20"/>
        </w:rPr>
      </w:pPr>
      <w:r>
        <w:rPr>
          <w:rFonts w:ascii="Verdana" w:hAnsi="Verdana" w:cs="Arial"/>
          <w:sz w:val="20"/>
          <w:szCs w:val="20"/>
          <w:lang w:eastAsia="fr-FR"/>
        </w:rPr>
        <w:t xml:space="preserve">It means that some fields will be purely and simply abandoned if the research </w:t>
      </w:r>
      <w:r>
        <w:rPr>
          <w:rFonts w:ascii="Verdana" w:hAnsi="Verdana" w:cs="Arial"/>
          <w:sz w:val="20"/>
          <w:szCs w:val="20"/>
          <w:lang w:eastAsia="fr-FR"/>
        </w:rPr>
        <w:t xml:space="preserve">budget is not significantly increased. </w:t>
      </w:r>
    </w:p>
    <w:p w:rsidR="0020499E" w:rsidRDefault="008E27E1">
      <w:pPr>
        <w:pStyle w:val="ListParagraph"/>
        <w:numPr>
          <w:ilvl w:val="1"/>
          <w:numId w:val="10"/>
        </w:numPr>
        <w:rPr>
          <w:rFonts w:ascii="Verdana" w:hAnsi="Verdana"/>
          <w:sz w:val="20"/>
          <w:szCs w:val="20"/>
        </w:rPr>
      </w:pPr>
      <w:r>
        <w:rPr>
          <w:rFonts w:ascii="Verdana" w:hAnsi="Verdana" w:cs="Arial"/>
          <w:sz w:val="20"/>
          <w:szCs w:val="20"/>
          <w:lang w:eastAsia="fr-FR"/>
        </w:rPr>
        <w:t>The current picture of Georgian research is incomplete: bibliometric</w:t>
      </w:r>
      <w:r>
        <w:rPr>
          <w:rFonts w:ascii="Verdana" w:hAnsi="Verdana" w:cs="Arial"/>
          <w:sz w:val="20"/>
          <w:szCs w:val="20"/>
          <w:lang w:eastAsia="fr-FR"/>
        </w:rPr>
        <w:t xml:space="preserve"> databases bring little insight about the research output in a number of fields (e.g. in social science and humanities). For these fields, a differentiated, peer review analysis is thus required. This means that the assessment of research as a whole can on</w:t>
      </w:r>
      <w:r>
        <w:rPr>
          <w:rFonts w:ascii="Verdana" w:hAnsi="Verdana" w:cs="Arial"/>
          <w:sz w:val="20"/>
          <w:szCs w:val="20"/>
          <w:lang w:eastAsia="fr-FR"/>
        </w:rPr>
        <w:t xml:space="preserve">ly be accomplished </w:t>
      </w:r>
      <w:r>
        <w:rPr>
          <w:rFonts w:ascii="Verdana" w:hAnsi="Verdana" w:cs="Arial"/>
          <w:i/>
          <w:sz w:val="20"/>
          <w:szCs w:val="20"/>
          <w:lang w:eastAsia="fr-FR"/>
        </w:rPr>
        <w:t xml:space="preserve">via </w:t>
      </w:r>
      <w:r>
        <w:rPr>
          <w:rFonts w:ascii="Verdana" w:hAnsi="Verdana" w:cs="Arial"/>
          <w:sz w:val="20"/>
          <w:szCs w:val="20"/>
          <w:lang w:eastAsia="fr-FR"/>
        </w:rPr>
        <w:t xml:space="preserve">a comprehensive, multi-layered evaluation framework. </w:t>
      </w:r>
    </w:p>
    <w:p w:rsidR="0020499E" w:rsidRDefault="008E27E1">
      <w:pPr>
        <w:pStyle w:val="ListParagraph"/>
        <w:numPr>
          <w:ilvl w:val="1"/>
          <w:numId w:val="10"/>
        </w:numPr>
        <w:autoSpaceDE/>
        <w:autoSpaceDN/>
        <w:adjustRightInd/>
        <w:rPr>
          <w:b/>
        </w:rPr>
      </w:pPr>
      <w:r>
        <w:rPr>
          <w:rFonts w:ascii="Verdana" w:hAnsi="Verdana"/>
          <w:sz w:val="20"/>
          <w:szCs w:val="20"/>
        </w:rPr>
        <w:t>Efficient research assessment systems are typically centralized, but the traditional tension between research policy and innovation policy, as well as the potentially drastic impl</w:t>
      </w:r>
      <w:r>
        <w:rPr>
          <w:rFonts w:ascii="Verdana" w:hAnsi="Verdana"/>
          <w:sz w:val="20"/>
          <w:szCs w:val="20"/>
        </w:rPr>
        <w:t xml:space="preserve">ications of the research priorities to be determined call for more check and balance. It is thus necessary to clarify at the outset how the system will be governed and whether legislative or regulatory adjustments are needed. </w:t>
      </w:r>
      <w:r>
        <w:br w:type="page"/>
      </w:r>
    </w:p>
    <w:p w:rsidR="0020499E" w:rsidRDefault="008E27E1">
      <w:pPr>
        <w:pStyle w:val="Heading1"/>
        <w:numPr>
          <w:ilvl w:val="0"/>
          <w:numId w:val="0"/>
        </w:numPr>
      </w:pPr>
      <w:bookmarkStart w:id="2" w:name="_Toc389396890"/>
      <w:r>
        <w:lastRenderedPageBreak/>
        <w:t>INTRODUCTION</w:t>
      </w:r>
      <w:bookmarkEnd w:id="2"/>
    </w:p>
    <w:p w:rsidR="0020499E" w:rsidRDefault="0020499E"/>
    <w:p w:rsidR="0020499E" w:rsidRDefault="008E27E1">
      <w:pPr>
        <w:rPr>
          <w:rFonts w:eastAsia="Times New Roman" w:cs="Arial"/>
          <w:lang w:eastAsia="fr-FR"/>
        </w:rPr>
      </w:pPr>
      <w:r>
        <w:rPr>
          <w:rFonts w:eastAsia="Times New Roman" w:cs="Times New Roman"/>
          <w:lang w:eastAsia="fr-FR"/>
        </w:rPr>
        <w:t>The purpose of</w:t>
      </w:r>
      <w:r>
        <w:rPr>
          <w:rFonts w:eastAsia="Times New Roman" w:cs="Times New Roman"/>
          <w:lang w:eastAsia="fr-FR"/>
        </w:rPr>
        <w:t xml:space="preserve"> this mission is to achieve a research output analysis for the Georgian Ministry of Education and Science. Its specific objectives include:</w:t>
      </w:r>
      <w:r>
        <w:rPr>
          <w:rFonts w:ascii="Arial" w:eastAsia="Times New Roman" w:hAnsi="Arial" w:cs="Arial"/>
          <w:lang w:eastAsia="fr-FR"/>
        </w:rPr>
        <w:t>​</w:t>
      </w:r>
    </w:p>
    <w:p w:rsidR="0020499E" w:rsidRDefault="0020499E">
      <w:pPr>
        <w:rPr>
          <w:rFonts w:eastAsia="Times New Roman" w:cs="Times New Roman"/>
          <w:lang w:eastAsia="fr-FR"/>
        </w:rPr>
      </w:pPr>
    </w:p>
    <w:p w:rsidR="0020499E" w:rsidRDefault="008E27E1">
      <w:pPr>
        <w:numPr>
          <w:ilvl w:val="0"/>
          <w:numId w:val="7"/>
        </w:numPr>
        <w:autoSpaceDE/>
        <w:autoSpaceDN/>
        <w:adjustRightInd/>
        <w:rPr>
          <w:rFonts w:eastAsia="Times New Roman" w:cs="Times New Roman"/>
          <w:lang w:eastAsia="fr-FR"/>
        </w:rPr>
      </w:pPr>
      <w:r>
        <w:rPr>
          <w:rFonts w:ascii="Arial" w:eastAsia="Times New Roman" w:hAnsi="Arial" w:cs="Arial"/>
          <w:lang w:eastAsia="fr-FR"/>
        </w:rPr>
        <w:t>​An a</w:t>
      </w:r>
      <w:r>
        <w:rPr>
          <w:rFonts w:eastAsia="Times New Roman" w:cs="Times New Roman"/>
          <w:lang w:eastAsia="fr-FR"/>
        </w:rPr>
        <w:t xml:space="preserve">nalysis of the dynamics of change of research output quality and volume in Georgia in a chronological </w:t>
      </w:r>
      <w:r>
        <w:rPr>
          <w:rFonts w:eastAsia="Times New Roman" w:cs="Times New Roman"/>
          <w:lang w:eastAsia="fr-FR"/>
        </w:rPr>
        <w:t>perspective, by institutions involved in production of the research output and by major fields of science as defined by international classifications;</w:t>
      </w:r>
    </w:p>
    <w:p w:rsidR="0020499E" w:rsidRDefault="008E27E1">
      <w:pPr>
        <w:numPr>
          <w:ilvl w:val="0"/>
          <w:numId w:val="7"/>
        </w:numPr>
        <w:autoSpaceDE/>
        <w:autoSpaceDN/>
        <w:adjustRightInd/>
        <w:rPr>
          <w:rFonts w:eastAsia="Times New Roman" w:cs="Times New Roman"/>
          <w:lang w:eastAsia="fr-FR"/>
        </w:rPr>
      </w:pPr>
      <w:r>
        <w:rPr>
          <w:rFonts w:eastAsia="Times New Roman" w:cs="Times New Roman"/>
          <w:lang w:eastAsia="fr-FR"/>
        </w:rPr>
        <w:t>A calculation of the share of Georgia National Science Foundation-funded projects in total research outpu</w:t>
      </w:r>
      <w:r>
        <w:rPr>
          <w:rFonts w:eastAsia="Times New Roman" w:cs="Times New Roman"/>
          <w:lang w:eastAsia="fr-FR"/>
        </w:rPr>
        <w:t>t;</w:t>
      </w:r>
    </w:p>
    <w:p w:rsidR="0020499E" w:rsidRDefault="008E27E1">
      <w:pPr>
        <w:numPr>
          <w:ilvl w:val="0"/>
          <w:numId w:val="7"/>
        </w:numPr>
        <w:autoSpaceDE/>
        <w:autoSpaceDN/>
        <w:adjustRightInd/>
        <w:rPr>
          <w:rFonts w:eastAsia="Times New Roman" w:cs="Times New Roman"/>
          <w:lang w:eastAsia="fr-FR"/>
        </w:rPr>
      </w:pPr>
      <w:r>
        <w:rPr>
          <w:rFonts w:eastAsia="Times New Roman" w:cs="Times New Roman"/>
          <w:lang w:eastAsia="fr-FR"/>
        </w:rPr>
        <w:t>An analysis of the research output in Georgia in a comparative perspective, using national data with similar indicators in other post-Soviet countries and Eastern Europe;</w:t>
      </w:r>
    </w:p>
    <w:p w:rsidR="0020499E" w:rsidRDefault="008E27E1">
      <w:pPr>
        <w:numPr>
          <w:ilvl w:val="0"/>
          <w:numId w:val="7"/>
        </w:numPr>
        <w:autoSpaceDE/>
        <w:autoSpaceDN/>
        <w:adjustRightInd/>
        <w:rPr>
          <w:rFonts w:eastAsia="Times New Roman" w:cs="Times New Roman"/>
          <w:lang w:eastAsia="fr-FR"/>
        </w:rPr>
      </w:pPr>
      <w:r>
        <w:rPr>
          <w:rFonts w:eastAsia="Times New Roman" w:cs="Times New Roman"/>
          <w:lang w:eastAsia="fr-FR"/>
        </w:rPr>
        <w:t>An identification of the strengths, weaknesses, opportunities, and threats to rese</w:t>
      </w:r>
      <w:r>
        <w:rPr>
          <w:rFonts w:eastAsia="Times New Roman" w:cs="Times New Roman"/>
          <w:lang w:eastAsia="fr-FR"/>
        </w:rPr>
        <w:t>arch in Georgia that may affect the government, academics, and other stakeholders as they work to improve scientific research in the nation</w:t>
      </w:r>
      <w:r>
        <w:rPr>
          <w:rFonts w:ascii="Arial" w:eastAsia="Times New Roman" w:hAnsi="Arial" w:cs="Arial"/>
          <w:lang w:eastAsia="fr-FR"/>
        </w:rPr>
        <w:t>​.</w:t>
      </w:r>
    </w:p>
    <w:p w:rsidR="0020499E" w:rsidRDefault="0020499E">
      <w:pPr>
        <w:autoSpaceDE/>
        <w:autoSpaceDN/>
        <w:adjustRightInd/>
        <w:rPr>
          <w:rFonts w:eastAsia="Times New Roman" w:cs="Arial"/>
          <w:lang w:eastAsia="fr-FR"/>
        </w:rPr>
      </w:pPr>
    </w:p>
    <w:p w:rsidR="0020499E" w:rsidRDefault="008E27E1">
      <w:pPr>
        <w:autoSpaceDE/>
        <w:autoSpaceDN/>
        <w:adjustRightInd/>
        <w:rPr>
          <w:rFonts w:eastAsia="Times New Roman" w:cs="Times New Roman"/>
          <w:lang w:eastAsia="fr-FR"/>
        </w:rPr>
      </w:pPr>
      <w:r>
        <w:rPr>
          <w:rFonts w:eastAsia="Times New Roman" w:cs="Times New Roman"/>
          <w:lang w:eastAsia="fr-FR"/>
        </w:rPr>
        <w:t>This report was supported by the United States Agency for International Development (USAID), through the Human an</w:t>
      </w:r>
      <w:r>
        <w:rPr>
          <w:rFonts w:eastAsia="Times New Roman" w:cs="Times New Roman"/>
          <w:lang w:eastAsia="fr-FR"/>
        </w:rPr>
        <w:t>d Institutional Capacity Development (HICD) PLUS project in Georgia.</w:t>
      </w:r>
    </w:p>
    <w:p w:rsidR="0020499E" w:rsidRDefault="0020499E">
      <w:pPr>
        <w:autoSpaceDE/>
        <w:autoSpaceDN/>
        <w:adjustRightInd/>
        <w:rPr>
          <w:rFonts w:eastAsia="Times New Roman" w:cs="Times New Roman"/>
          <w:lang w:eastAsia="fr-FR"/>
        </w:rPr>
      </w:pPr>
    </w:p>
    <w:p w:rsidR="0020499E" w:rsidRDefault="008E27E1">
      <w:pPr>
        <w:autoSpaceDE/>
        <w:autoSpaceDN/>
        <w:adjustRightInd/>
        <w:rPr>
          <w:rFonts w:eastAsia="Times New Roman" w:cs="Times New Roman"/>
          <w:lang w:eastAsia="fr-FR"/>
        </w:rPr>
      </w:pPr>
      <w:r>
        <w:rPr>
          <w:rFonts w:eastAsia="Times New Roman" w:cs="Times New Roman"/>
          <w:lang w:eastAsia="fr-FR"/>
        </w:rPr>
        <w:t>This report is divided into four parts:</w:t>
      </w:r>
    </w:p>
    <w:p w:rsidR="0020499E" w:rsidRDefault="0020499E">
      <w:pPr>
        <w:autoSpaceDE/>
        <w:autoSpaceDN/>
        <w:adjustRightInd/>
        <w:rPr>
          <w:rFonts w:eastAsia="Times New Roman" w:cs="Times New Roman"/>
          <w:lang w:eastAsia="fr-FR"/>
        </w:rPr>
      </w:pPr>
    </w:p>
    <w:p w:rsidR="0020499E" w:rsidRDefault="008E27E1">
      <w:pPr>
        <w:autoSpaceDE/>
        <w:autoSpaceDN/>
        <w:adjustRightInd/>
        <w:rPr>
          <w:rFonts w:eastAsia="Times New Roman" w:cs="Times New Roman"/>
          <w:lang w:eastAsia="fr-FR"/>
        </w:rPr>
      </w:pPr>
      <w:r>
        <w:rPr>
          <w:rFonts w:eastAsia="Times New Roman" w:cs="Times New Roman"/>
          <w:lang w:eastAsia="fr-FR"/>
        </w:rPr>
        <w:t>In the first part, we provide a bibliometric snapshot of the research output and performance in Georgia.</w:t>
      </w:r>
    </w:p>
    <w:p w:rsidR="0020499E" w:rsidRDefault="008E27E1">
      <w:pPr>
        <w:autoSpaceDE/>
        <w:autoSpaceDN/>
        <w:adjustRightInd/>
        <w:rPr>
          <w:rFonts w:eastAsia="Times New Roman" w:cs="Times New Roman"/>
          <w:lang w:eastAsia="fr-FR"/>
        </w:rPr>
      </w:pPr>
      <w:r>
        <w:rPr>
          <w:rFonts w:eastAsia="Times New Roman" w:cs="Times New Roman"/>
          <w:lang w:eastAsia="fr-FR"/>
        </w:rPr>
        <w:t>In the second part, we provide an intell</w:t>
      </w:r>
      <w:r>
        <w:rPr>
          <w:rFonts w:eastAsia="Times New Roman" w:cs="Times New Roman"/>
          <w:lang w:eastAsia="fr-FR"/>
        </w:rPr>
        <w:t>ectual property snapshot of the research output and performance in Georgia.</w:t>
      </w:r>
    </w:p>
    <w:p w:rsidR="0020499E" w:rsidRDefault="008E27E1">
      <w:pPr>
        <w:autoSpaceDE/>
        <w:autoSpaceDN/>
        <w:adjustRightInd/>
        <w:rPr>
          <w:rFonts w:eastAsia="Times New Roman" w:cs="Times New Roman"/>
          <w:lang w:eastAsia="fr-FR"/>
        </w:rPr>
      </w:pPr>
      <w:r>
        <w:rPr>
          <w:rFonts w:eastAsia="Times New Roman" w:cs="Times New Roman"/>
          <w:lang w:eastAsia="fr-FR"/>
        </w:rPr>
        <w:t>In the third part, we make a qualitative analysis based on a field study conducted among the various stakeholders of Georgian research.</w:t>
      </w:r>
    </w:p>
    <w:p w:rsidR="0020499E" w:rsidRDefault="008E27E1">
      <w:pPr>
        <w:autoSpaceDE/>
        <w:autoSpaceDN/>
        <w:adjustRightInd/>
        <w:rPr>
          <w:rFonts w:eastAsia="Times New Roman" w:cs="Times New Roman"/>
          <w:lang w:eastAsia="fr-FR"/>
        </w:rPr>
      </w:pPr>
      <w:r>
        <w:rPr>
          <w:rFonts w:eastAsia="Times New Roman" w:cs="Times New Roman"/>
          <w:lang w:eastAsia="fr-FR"/>
        </w:rPr>
        <w:t>In the fourth part, we describe the alternat</w:t>
      </w:r>
      <w:r>
        <w:rPr>
          <w:rFonts w:eastAsia="Times New Roman" w:cs="Times New Roman"/>
          <w:lang w:eastAsia="fr-FR"/>
        </w:rPr>
        <w:t xml:space="preserve">ive methods available to evaluate – and fund - research and make some recommendations regarding the most suitable options for Georgia.   </w:t>
      </w:r>
    </w:p>
    <w:p w:rsidR="0020499E" w:rsidRDefault="008E27E1">
      <w:pPr>
        <w:autoSpaceDE/>
        <w:autoSpaceDN/>
        <w:adjustRightInd/>
        <w:jc w:val="left"/>
        <w:rPr>
          <w:noProof/>
        </w:rPr>
      </w:pPr>
      <w:r>
        <w:rPr>
          <w:noProof/>
        </w:rPr>
        <w:br w:type="page"/>
      </w:r>
    </w:p>
    <w:p w:rsidR="0020499E" w:rsidRDefault="008E27E1">
      <w:pPr>
        <w:pStyle w:val="Heading1"/>
        <w:numPr>
          <w:ilvl w:val="0"/>
          <w:numId w:val="0"/>
        </w:numPr>
        <w:ind w:left="360" w:hanging="360"/>
        <w:jc w:val="left"/>
      </w:pPr>
      <w:bookmarkStart w:id="3" w:name="_Toc389396891"/>
      <w:r>
        <w:lastRenderedPageBreak/>
        <w:t>1. BIBLIOMETRIC SNAPSHOT OF RESEARCH OUTPUT AND PERFORMANCE IN GEORGIA</w:t>
      </w:r>
      <w:bookmarkEnd w:id="3"/>
    </w:p>
    <w:p w:rsidR="0020499E" w:rsidRDefault="0020499E"/>
    <w:p w:rsidR="0020499E" w:rsidRDefault="008E27E1">
      <w:r>
        <w:t>This chapter provides a bibliometric</w:t>
      </w:r>
      <w:r>
        <w:t xml:space="preserve"> snapshot of the national research output and performance of Georgia during the period 2004-2013. </w:t>
      </w:r>
    </w:p>
    <w:p w:rsidR="0020499E" w:rsidRDefault="0020499E"/>
    <w:p w:rsidR="0020499E" w:rsidRDefault="008E27E1">
      <w:r>
        <w:t>Given the specific context of the country and subject to the limitations inherent to existing databases, it aims at fulfilling the following objectives:</w:t>
      </w:r>
    </w:p>
    <w:p w:rsidR="0020499E" w:rsidRDefault="0020499E"/>
    <w:p w:rsidR="0020499E" w:rsidRDefault="008E27E1">
      <w:pPr>
        <w:pStyle w:val="ListParagraph"/>
        <w:numPr>
          <w:ilvl w:val="0"/>
          <w:numId w:val="1"/>
        </w:numPr>
        <w:rPr>
          <w:rFonts w:ascii="Verdana" w:eastAsia="Calibri" w:hAnsi="Verdana"/>
          <w:snapToGrid/>
          <w:sz w:val="20"/>
          <w:szCs w:val="20"/>
          <w:lang w:bidi="ar-SA"/>
        </w:rPr>
      </w:pPr>
      <w:r>
        <w:rPr>
          <w:rFonts w:ascii="Verdana" w:eastAsia="Calibri" w:hAnsi="Verdana"/>
          <w:snapToGrid/>
          <w:sz w:val="20"/>
          <w:szCs w:val="20"/>
          <w:lang w:bidi="ar-SA"/>
        </w:rPr>
        <w:t>An</w:t>
      </w:r>
      <w:r>
        <w:rPr>
          <w:rFonts w:ascii="Verdana" w:eastAsia="Calibri" w:hAnsi="Verdana"/>
          <w:snapToGrid/>
          <w:sz w:val="20"/>
          <w:szCs w:val="20"/>
          <w:lang w:bidi="ar-SA"/>
        </w:rPr>
        <w:t xml:space="preserve">alyzing dynamics of change in research output quality and volume in Georgia: </w:t>
      </w:r>
    </w:p>
    <w:p w:rsidR="0020499E" w:rsidRDefault="008E27E1">
      <w:pPr>
        <w:pStyle w:val="ListParagraph"/>
        <w:numPr>
          <w:ilvl w:val="0"/>
          <w:numId w:val="2"/>
        </w:numPr>
        <w:rPr>
          <w:rFonts w:ascii="Verdana" w:eastAsia="Calibri" w:hAnsi="Verdana"/>
          <w:snapToGrid/>
          <w:sz w:val="20"/>
          <w:szCs w:val="20"/>
          <w:lang w:bidi="ar-SA"/>
        </w:rPr>
      </w:pPr>
      <w:r>
        <w:rPr>
          <w:rFonts w:ascii="Verdana" w:eastAsia="Calibri" w:hAnsi="Verdana"/>
          <w:snapToGrid/>
          <w:sz w:val="20"/>
          <w:szCs w:val="20"/>
          <w:lang w:bidi="ar-SA"/>
        </w:rPr>
        <w:t>In a chronological perspective (2004-2013);</w:t>
      </w:r>
    </w:p>
    <w:p w:rsidR="0020499E" w:rsidRDefault="008E27E1">
      <w:pPr>
        <w:pStyle w:val="ListParagraph"/>
        <w:numPr>
          <w:ilvl w:val="0"/>
          <w:numId w:val="2"/>
        </w:numPr>
        <w:rPr>
          <w:rFonts w:ascii="Verdana" w:eastAsia="Calibri" w:hAnsi="Verdana"/>
          <w:snapToGrid/>
          <w:sz w:val="20"/>
          <w:szCs w:val="20"/>
          <w:lang w:bidi="ar-SA"/>
        </w:rPr>
      </w:pPr>
      <w:r>
        <w:rPr>
          <w:rFonts w:ascii="Verdana" w:eastAsia="Calibri" w:hAnsi="Verdana"/>
          <w:snapToGrid/>
          <w:sz w:val="20"/>
          <w:szCs w:val="20"/>
          <w:lang w:bidi="ar-SA"/>
        </w:rPr>
        <w:t>By major fields of science as defined by international classificators;</w:t>
      </w:r>
    </w:p>
    <w:p w:rsidR="0020499E" w:rsidRDefault="008E27E1">
      <w:pPr>
        <w:pStyle w:val="ListParagraph"/>
        <w:numPr>
          <w:ilvl w:val="0"/>
          <w:numId w:val="1"/>
        </w:numPr>
        <w:rPr>
          <w:rFonts w:ascii="Verdana" w:eastAsia="Calibri" w:hAnsi="Verdana"/>
          <w:snapToGrid/>
          <w:sz w:val="20"/>
          <w:szCs w:val="20"/>
          <w:lang w:bidi="ar-SA"/>
        </w:rPr>
      </w:pPr>
      <w:r>
        <w:rPr>
          <w:rFonts w:ascii="Verdana" w:eastAsia="Calibri" w:hAnsi="Verdana"/>
          <w:snapToGrid/>
          <w:sz w:val="20"/>
          <w:szCs w:val="20"/>
          <w:lang w:bidi="ar-SA"/>
        </w:rPr>
        <w:t>Analyzing research output in Georgia in a comparative perspecti</w:t>
      </w:r>
      <w:r>
        <w:rPr>
          <w:rFonts w:ascii="Verdana" w:eastAsia="Calibri" w:hAnsi="Verdana"/>
          <w:snapToGrid/>
          <w:sz w:val="20"/>
          <w:szCs w:val="20"/>
          <w:lang w:bidi="ar-SA"/>
        </w:rPr>
        <w:t xml:space="preserve">ve (comparing national data with similar indicators in other Post-Soviet countries, Eastern Europe and World.) </w:t>
      </w:r>
    </w:p>
    <w:p w:rsidR="0020499E" w:rsidRDefault="0020499E"/>
    <w:p w:rsidR="0020499E" w:rsidRDefault="008E27E1">
      <w:r>
        <w:t xml:space="preserve">This chapter is divided into five sections: </w:t>
      </w:r>
    </w:p>
    <w:p w:rsidR="0020499E" w:rsidRDefault="0020499E"/>
    <w:p w:rsidR="0020499E" w:rsidRDefault="008E27E1">
      <w:r>
        <w:t>The first section discusses our methodology.</w:t>
      </w:r>
    </w:p>
    <w:p w:rsidR="0020499E" w:rsidRDefault="008E27E1">
      <w:r>
        <w:t xml:space="preserve">The following three sections describe the so-called </w:t>
      </w:r>
      <w:r>
        <w:t xml:space="preserve">“external efficiency” of the system (Georgia as compared to other countries, region, world) from various angles. </w:t>
      </w:r>
    </w:p>
    <w:p w:rsidR="0020499E" w:rsidRDefault="008E27E1">
      <w:r>
        <w:t>The last section assesses the internal efficiency of the national system and analyses the role and impact of the ShotaRustaveli National Scien</w:t>
      </w:r>
      <w:r>
        <w:t>ce Foundation (SRNSF).</w:t>
      </w:r>
    </w:p>
    <w:p w:rsidR="0020499E" w:rsidRDefault="0020499E"/>
    <w:p w:rsidR="0020499E" w:rsidRDefault="008E27E1">
      <w:pPr>
        <w:pStyle w:val="Heading2"/>
      </w:pPr>
      <w:bookmarkStart w:id="4" w:name="_Toc389396892"/>
      <w:r>
        <w:t>1.1 Methodological considerations</w:t>
      </w:r>
      <w:bookmarkEnd w:id="4"/>
    </w:p>
    <w:p w:rsidR="0020499E" w:rsidRDefault="0020499E"/>
    <w:p w:rsidR="0020499E" w:rsidRDefault="008E27E1">
      <w:pPr>
        <w:rPr>
          <w:shd w:val="clear" w:color="auto" w:fill="FFFF00"/>
        </w:rPr>
      </w:pPr>
      <w:r>
        <w:t>The bibliometric analysis applies whole counting method as a main principle of counting. The whole or integer count gives the number of articles and conference proceedings in which the country part</w:t>
      </w:r>
      <w:r>
        <w:t xml:space="preserve">icipated. These two types of output are included in the analysis. </w:t>
      </w:r>
    </w:p>
    <w:p w:rsidR="0020499E" w:rsidRDefault="0020499E"/>
    <w:p w:rsidR="0020499E" w:rsidRDefault="008E27E1">
      <w:r>
        <w:t>In many cases, relative measures are provided to compare output of Georgia with reference groups. Relativizing the measure enables us to judge the output in light of the norm in a field or</w:t>
      </w:r>
      <w:r>
        <w:t xml:space="preserve"> region (Thomson Reuters, 2008). </w:t>
      </w:r>
    </w:p>
    <w:p w:rsidR="0020499E" w:rsidRDefault="0020499E"/>
    <w:p w:rsidR="0020499E" w:rsidRDefault="008E27E1">
      <w:pPr>
        <w:pStyle w:val="Heading3"/>
      </w:pPr>
      <w:bookmarkStart w:id="5" w:name="_Toc389396893"/>
      <w:r>
        <w:t>1.1.1 Availability of data</w:t>
      </w:r>
      <w:bookmarkEnd w:id="5"/>
    </w:p>
    <w:p w:rsidR="0020499E" w:rsidRDefault="0020499E"/>
    <w:p w:rsidR="0020499E" w:rsidRDefault="008E27E1">
      <w:r>
        <w:t>The main Georgian research institutions generally try to compile and maintain a track record of their research output. For example, the Georgian Technical University has a dedicated interdiscip</w:t>
      </w:r>
      <w:r>
        <w:t xml:space="preserve">linary scientific center (Techinformi) which performs this task among others. But even in this latter case, databases are incomplete because they depend on the willingness of the institutes to update them regularly on their publications. </w:t>
      </w:r>
    </w:p>
    <w:p w:rsidR="0020499E" w:rsidRDefault="0020499E"/>
    <w:p w:rsidR="0020499E" w:rsidRDefault="008E27E1">
      <w:r>
        <w:t>Thus, Georgia do</w:t>
      </w:r>
      <w:r>
        <w:t>es not have presently a nationwide database that lists the various forms of its research outputs (articles, books, conference proceeding…), except for its patents and patent applications. Accordingly, our quantitative analysis is primarily based on bibliom</w:t>
      </w:r>
      <w:r>
        <w:t xml:space="preserve">etric data derived from the two largest international databases (Thomson Reuters ISI Web of Science Core Collection and Scopus). </w:t>
      </w:r>
    </w:p>
    <w:p w:rsidR="0020499E" w:rsidRDefault="0020499E"/>
    <w:p w:rsidR="0020499E" w:rsidRDefault="008E27E1">
      <w:r>
        <w:t xml:space="preserve">As fields and subfields of science are categorized differently by these databases and the associated analytical tools, we have grouped all fields and subfields listed in the databases into 5 main categories as defined by the </w:t>
      </w:r>
      <w:r>
        <w:rPr>
          <w:rFonts w:cs="TimesNewRoman,Bold"/>
          <w:b/>
          <w:bCs/>
        </w:rPr>
        <w:t>Field of Science (FoS) classifi</w:t>
      </w:r>
      <w:r>
        <w:rPr>
          <w:rFonts w:cs="TimesNewRoman,Bold"/>
          <w:b/>
          <w:bCs/>
        </w:rPr>
        <w:t xml:space="preserve">cation in the Frascati Manual (OSCE): </w:t>
      </w:r>
      <w:r>
        <w:t>Natural Sciences (including Physics and Astronomy, Mathematics, Biology), Engineering and Technology, Social Sciences, Humanities and Agricultural Sciences.  More detailed analyses by subfields are done where necessary</w:t>
      </w:r>
      <w:r>
        <w:t>.</w:t>
      </w:r>
    </w:p>
    <w:p w:rsidR="0020499E" w:rsidRDefault="0020499E"/>
    <w:p w:rsidR="0020499E" w:rsidRDefault="008E27E1">
      <w:pPr>
        <w:pStyle w:val="Heading3"/>
      </w:pPr>
      <w:bookmarkStart w:id="6" w:name="_Toc389396894"/>
      <w:r>
        <w:lastRenderedPageBreak/>
        <w:t>1.1.2 Main biases</w:t>
      </w:r>
      <w:bookmarkEnd w:id="6"/>
    </w:p>
    <w:p w:rsidR="0020499E" w:rsidRDefault="0020499E"/>
    <w:p w:rsidR="0020499E" w:rsidRDefault="008E27E1">
      <w:pPr>
        <w:rPr>
          <w:color w:val="000000" w:themeColor="text1"/>
        </w:rPr>
      </w:pPr>
      <w:r>
        <w:rPr>
          <w:color w:val="000000" w:themeColor="text1"/>
        </w:rPr>
        <w:t>Bibliometric measures are useful tools to assess scientific production output and performance insofar as their limitations are accounted for. Below is a brief description of the main biases we identified, as well as our responses to m</w:t>
      </w:r>
      <w:r>
        <w:rPr>
          <w:color w:val="000000" w:themeColor="text1"/>
        </w:rPr>
        <w:t>itigate their impact.</w:t>
      </w:r>
    </w:p>
    <w:p w:rsidR="0020499E" w:rsidRDefault="0020499E"/>
    <w:p w:rsidR="0020499E" w:rsidRDefault="008E27E1">
      <w:pPr>
        <w:pStyle w:val="ListParagraph"/>
        <w:numPr>
          <w:ilvl w:val="0"/>
          <w:numId w:val="45"/>
        </w:numPr>
        <w:ind w:left="709"/>
        <w:rPr>
          <w:rFonts w:ascii="Verdana" w:hAnsi="Verdana"/>
          <w:color w:val="000000" w:themeColor="text1"/>
          <w:sz w:val="20"/>
          <w:szCs w:val="20"/>
        </w:rPr>
      </w:pPr>
      <w:r>
        <w:rPr>
          <w:rFonts w:ascii="Verdana" w:hAnsi="Verdana"/>
          <w:b/>
          <w:sz w:val="20"/>
          <w:szCs w:val="20"/>
        </w:rPr>
        <w:t xml:space="preserve">Biases attributable to Georgia’s characteristics </w:t>
      </w:r>
    </w:p>
    <w:p w:rsidR="0020499E" w:rsidRDefault="008E27E1">
      <w:pPr>
        <w:pStyle w:val="ListParagraph"/>
        <w:numPr>
          <w:ilvl w:val="1"/>
          <w:numId w:val="11"/>
        </w:numPr>
        <w:ind w:left="1134"/>
        <w:rPr>
          <w:rFonts w:ascii="Verdana" w:hAnsi="Verdana"/>
          <w:color w:val="000000" w:themeColor="text1"/>
          <w:sz w:val="20"/>
          <w:szCs w:val="20"/>
        </w:rPr>
      </w:pPr>
      <w:r>
        <w:rPr>
          <w:rFonts w:ascii="Verdana" w:hAnsi="Verdana"/>
          <w:sz w:val="20"/>
          <w:szCs w:val="20"/>
        </w:rPr>
        <w:t>Small countries such as Georgia produce by definition smaller datasets than large countries and this typically entails greater fluctuations. For example, highly cited papers can influ</w:t>
      </w:r>
      <w:r>
        <w:rPr>
          <w:rFonts w:ascii="Verdana" w:hAnsi="Verdana"/>
          <w:sz w:val="20"/>
          <w:szCs w:val="20"/>
        </w:rPr>
        <w:t xml:space="preserve">ence average citation rates </w:t>
      </w:r>
      <w:r>
        <w:rPr>
          <w:rFonts w:ascii="Verdana" w:hAnsi="Verdana"/>
          <w:color w:val="000000" w:themeColor="text1"/>
          <w:sz w:val="20"/>
          <w:szCs w:val="20"/>
        </w:rPr>
        <w:t>considerably. Changes in small research areas may therefore be more visible but less significant and need to be interpreted with caution. Such categories, when found, have been sometimes excluded from the analyses. To indicate t</w:t>
      </w:r>
      <w:r>
        <w:rPr>
          <w:rFonts w:ascii="Verdana" w:hAnsi="Verdana"/>
          <w:color w:val="000000" w:themeColor="text1"/>
          <w:sz w:val="20"/>
          <w:szCs w:val="20"/>
        </w:rPr>
        <w:t>heir volume, we have kept the categories in some of the publication activities reported, but we have not performed detailed analyses for these areas.</w:t>
      </w:r>
    </w:p>
    <w:p w:rsidR="0020499E" w:rsidRDefault="008E27E1">
      <w:pPr>
        <w:pStyle w:val="ListParagraph"/>
        <w:numPr>
          <w:ilvl w:val="1"/>
          <w:numId w:val="11"/>
        </w:numPr>
        <w:ind w:left="1134"/>
        <w:rPr>
          <w:rFonts w:ascii="Verdana" w:hAnsi="Verdana"/>
          <w:color w:val="000000" w:themeColor="text1"/>
          <w:sz w:val="20"/>
          <w:szCs w:val="20"/>
        </w:rPr>
      </w:pPr>
      <w:r>
        <w:rPr>
          <w:rFonts w:ascii="Verdana" w:hAnsi="Verdana"/>
          <w:color w:val="000000" w:themeColor="text1"/>
          <w:sz w:val="20"/>
          <w:szCs w:val="20"/>
        </w:rPr>
        <w:t>Pursuant to a series of decrees, most research institutes have been merged with universities in 2010, in o</w:t>
      </w:r>
      <w:r>
        <w:rPr>
          <w:rFonts w:ascii="Verdana" w:hAnsi="Verdana"/>
          <w:color w:val="000000" w:themeColor="text1"/>
          <w:sz w:val="20"/>
          <w:szCs w:val="20"/>
        </w:rPr>
        <w:t xml:space="preserve">rder to bring research and academia together. Thus, a comparison of the productivity of the Georgian Universities would be premature at this point. For example, the </w:t>
      </w:r>
      <w:r>
        <w:rPr>
          <w:rFonts w:ascii="Verdana" w:hAnsi="Verdana"/>
          <w:sz w:val="20"/>
          <w:szCs w:val="20"/>
        </w:rPr>
        <w:t>significant drop in the volume of output of the Georgian National Academy of Science in rec</w:t>
      </w:r>
      <w:r>
        <w:rPr>
          <w:rFonts w:ascii="Verdana" w:hAnsi="Verdana"/>
          <w:sz w:val="20"/>
          <w:szCs w:val="20"/>
        </w:rPr>
        <w:t>ent years tells little about its actual productivity, since the publications of the institutes that were formerly attached to it are now attributed to other institutions. Conversely, the recent increase in output of IvaneJavakhishvili State University is a</w:t>
      </w:r>
      <w:r>
        <w:rPr>
          <w:rFonts w:ascii="Verdana" w:hAnsi="Verdana"/>
          <w:sz w:val="20"/>
          <w:szCs w:val="20"/>
        </w:rPr>
        <w:t xml:space="preserve"> mechanical consequence of the fact that it has absorbed most of the institutes in the field of physics. Consequently, we have renounced to make a comparison by institution.   </w:t>
      </w:r>
    </w:p>
    <w:p w:rsidR="0020499E" w:rsidRDefault="0020499E">
      <w:pPr>
        <w:rPr>
          <w:color w:val="000000" w:themeColor="text1"/>
        </w:rPr>
      </w:pPr>
    </w:p>
    <w:p w:rsidR="0020499E" w:rsidRDefault="008E27E1">
      <w:pPr>
        <w:pStyle w:val="ListParagraph"/>
        <w:numPr>
          <w:ilvl w:val="0"/>
          <w:numId w:val="46"/>
        </w:numPr>
        <w:ind w:left="709"/>
        <w:rPr>
          <w:rFonts w:ascii="Verdana" w:hAnsi="Verdana"/>
          <w:color w:val="000000" w:themeColor="text1"/>
          <w:sz w:val="20"/>
          <w:szCs w:val="20"/>
        </w:rPr>
      </w:pPr>
      <w:r>
        <w:rPr>
          <w:rFonts w:ascii="Verdana" w:hAnsi="Verdana"/>
          <w:b/>
          <w:color w:val="000000" w:themeColor="text1"/>
          <w:sz w:val="20"/>
          <w:szCs w:val="20"/>
        </w:rPr>
        <w:t>Biases attributable to the main databases</w:t>
      </w:r>
    </w:p>
    <w:p w:rsidR="0020499E" w:rsidRDefault="008E27E1">
      <w:pPr>
        <w:pStyle w:val="ListParagraph"/>
        <w:numPr>
          <w:ilvl w:val="1"/>
          <w:numId w:val="11"/>
        </w:numPr>
        <w:ind w:left="1134"/>
        <w:rPr>
          <w:rFonts w:ascii="Verdana" w:hAnsi="Verdana"/>
          <w:color w:val="000000" w:themeColor="text1"/>
          <w:sz w:val="20"/>
          <w:szCs w:val="20"/>
        </w:rPr>
      </w:pPr>
      <w:r>
        <w:rPr>
          <w:rFonts w:ascii="Verdana" w:hAnsi="Verdana"/>
          <w:color w:val="000000" w:themeColor="text1"/>
          <w:sz w:val="20"/>
          <w:szCs w:val="20"/>
        </w:rPr>
        <w:t>It is well known that Thomson Reuter</w:t>
      </w:r>
      <w:r>
        <w:rPr>
          <w:rFonts w:ascii="Verdana" w:hAnsi="Verdana"/>
          <w:color w:val="000000" w:themeColor="text1"/>
          <w:sz w:val="20"/>
          <w:szCs w:val="20"/>
        </w:rPr>
        <w:t>s’ Social Science Citation Index is heavily biased towards Anglo-Saxon journals and covers only 5% to 15% of the research publications produced in social science fields (Sivertsen, 2009). To provide a more balanced picture, Scopus database (Elsevier), whic</w:t>
      </w:r>
      <w:r>
        <w:rPr>
          <w:rFonts w:ascii="Verdana" w:hAnsi="Verdana"/>
          <w:color w:val="000000" w:themeColor="text1"/>
          <w:sz w:val="20"/>
          <w:szCs w:val="20"/>
        </w:rPr>
        <w:t xml:space="preserve">h is considered to be more comprehensive, has been used in parallel. </w:t>
      </w:r>
    </w:p>
    <w:p w:rsidR="0020499E" w:rsidRDefault="008E27E1">
      <w:pPr>
        <w:pStyle w:val="ListParagraph"/>
        <w:numPr>
          <w:ilvl w:val="1"/>
          <w:numId w:val="11"/>
        </w:numPr>
        <w:ind w:left="1134"/>
        <w:rPr>
          <w:rFonts w:ascii="Verdana" w:hAnsi="Verdana"/>
          <w:color w:val="000000" w:themeColor="text1"/>
          <w:sz w:val="20"/>
          <w:szCs w:val="20"/>
        </w:rPr>
      </w:pPr>
      <w:r>
        <w:rPr>
          <w:rFonts w:ascii="Verdana" w:hAnsi="Verdana"/>
          <w:color w:val="000000" w:themeColor="text1"/>
          <w:sz w:val="20"/>
          <w:szCs w:val="20"/>
        </w:rPr>
        <w:t>Regardless of the database used, there is a well-known imbalance among fields: natural sciences are more accurately represented than social sciences and humanities. For example, the shar</w:t>
      </w:r>
      <w:r>
        <w:rPr>
          <w:rFonts w:ascii="Verdana" w:hAnsi="Verdana"/>
          <w:color w:val="000000" w:themeColor="text1"/>
          <w:sz w:val="20"/>
          <w:szCs w:val="20"/>
        </w:rPr>
        <w:t>e of Arts and Humanities or Mathematics journals in databases is at least ten times smaller than the share of Engineering and Medical Sciences. As a result, major fields of research such as Georgian studies (in a broad sense) are hardly visible and it is i</w:t>
      </w:r>
      <w:r>
        <w:rPr>
          <w:rFonts w:ascii="Verdana" w:hAnsi="Verdana"/>
          <w:color w:val="000000" w:themeColor="text1"/>
          <w:sz w:val="20"/>
          <w:szCs w:val="20"/>
        </w:rPr>
        <w:t xml:space="preserve">mportant to bear in mind that in such cases, the only reliable source of bibliometric data are the institutes themselves. </w:t>
      </w:r>
    </w:p>
    <w:p w:rsidR="0020499E" w:rsidRDefault="008E27E1">
      <w:pPr>
        <w:pStyle w:val="ListParagraph"/>
        <w:numPr>
          <w:ilvl w:val="1"/>
          <w:numId w:val="11"/>
        </w:numPr>
        <w:autoSpaceDE/>
        <w:autoSpaceDN/>
        <w:adjustRightInd/>
        <w:ind w:left="1134"/>
        <w:rPr>
          <w:b/>
          <w:sz w:val="28"/>
          <w:szCs w:val="28"/>
        </w:rPr>
      </w:pPr>
      <w:r>
        <w:rPr>
          <w:rFonts w:ascii="Verdana" w:hAnsi="Verdana"/>
          <w:color w:val="000000" w:themeColor="text1"/>
          <w:sz w:val="20"/>
          <w:szCs w:val="20"/>
        </w:rPr>
        <w:t>Finally, articles are not necessarily the most valuable scientific output in certain disciplines: books in humanities and social scie</w:t>
      </w:r>
      <w:r>
        <w:rPr>
          <w:rFonts w:ascii="Verdana" w:hAnsi="Verdana"/>
          <w:color w:val="000000" w:themeColor="text1"/>
          <w:sz w:val="20"/>
          <w:szCs w:val="20"/>
        </w:rPr>
        <w:t>nces, or conference proceedings in computer sciences, matter more than high-impact journals (Adler &amp;Harzing, 2009). To correct – in part - this bias, we have ruled out certain calculations that produced misleading results, such as, for example, the interna</w:t>
      </w:r>
      <w:r>
        <w:rPr>
          <w:rFonts w:ascii="Verdana" w:hAnsi="Verdana"/>
          <w:color w:val="000000" w:themeColor="text1"/>
          <w:sz w:val="20"/>
          <w:szCs w:val="20"/>
        </w:rPr>
        <w:t xml:space="preserve">l field efficiency index (IFEF), which measures the relative productivity per capita by fields.  </w:t>
      </w:r>
    </w:p>
    <w:p w:rsidR="0020499E" w:rsidRDefault="0020499E">
      <w:pPr>
        <w:pStyle w:val="ListParagraph"/>
        <w:autoSpaceDE/>
        <w:autoSpaceDN/>
        <w:adjustRightInd/>
        <w:ind w:left="1134"/>
        <w:jc w:val="left"/>
        <w:rPr>
          <w:b/>
          <w:sz w:val="28"/>
          <w:szCs w:val="28"/>
        </w:rPr>
      </w:pPr>
    </w:p>
    <w:p w:rsidR="0020499E" w:rsidRDefault="008E27E1">
      <w:pPr>
        <w:pStyle w:val="Heading2"/>
      </w:pPr>
      <w:bookmarkStart w:id="7" w:name="_Toc389396895"/>
      <w:r>
        <w:t>1.2 Total Production</w:t>
      </w:r>
      <w:bookmarkEnd w:id="7"/>
    </w:p>
    <w:p w:rsidR="0020499E" w:rsidRDefault="0020499E"/>
    <w:p w:rsidR="0020499E" w:rsidRDefault="008E27E1">
      <w:r>
        <w:t>This section reviews the trends in publication activity in Georgia over a 10-year period, starting from 2004. Absolute and relative ind</w:t>
      </w:r>
      <w:r>
        <w:t xml:space="preserve">icators are presented to characterize the trends and enable comparisons between Georgia, other former Soviet Union Countries, European countries and the world. </w:t>
      </w:r>
    </w:p>
    <w:p w:rsidR="0020499E" w:rsidRDefault="0020499E"/>
    <w:p w:rsidR="0020499E" w:rsidRDefault="008E27E1">
      <w:r>
        <w:lastRenderedPageBreak/>
        <w:t>We focus only on the total publication activity (including articles and proceedings). Hence, a</w:t>
      </w:r>
      <w:r>
        <w:t xml:space="preserve">ll subject areas are combined to produce aggregated publication numbers. In some cases 3-year intervals are used. </w:t>
      </w:r>
    </w:p>
    <w:p w:rsidR="0020499E" w:rsidRDefault="0020499E"/>
    <w:p w:rsidR="0020499E" w:rsidRDefault="008E27E1">
      <w:r>
        <w:t>First, the total publication activity in integer numbers is shown. Then the relative growth in publication activity is presented. Finally, r</w:t>
      </w:r>
      <w:r>
        <w:t xml:space="preserve">elative indicators of publications per capita and Gross Expenditure on Research and Development (GERD) are analyzed to allow for more accurate comparisons among countries of different sizes and levels of economic development.  </w:t>
      </w:r>
    </w:p>
    <w:p w:rsidR="0020499E" w:rsidRDefault="0020499E"/>
    <w:p w:rsidR="0020499E" w:rsidRDefault="008E27E1">
      <w:pPr>
        <w:pStyle w:val="Heading3"/>
      </w:pPr>
      <w:bookmarkStart w:id="8" w:name="_Toc389396896"/>
      <w:r>
        <w:t>1.2.1 Key trends</w:t>
      </w:r>
      <w:bookmarkEnd w:id="8"/>
    </w:p>
    <w:p w:rsidR="0020499E" w:rsidRDefault="0020499E"/>
    <w:p w:rsidR="0020499E" w:rsidRDefault="008E27E1">
      <w:r>
        <w:t xml:space="preserve">Analysis of total publication activity in Scopus and Web of Science Core Collection databases shows a steady growth of research output in Georgia during the period 2004-2012, with a steep increase after 2010. </w:t>
      </w:r>
    </w:p>
    <w:p w:rsidR="0020499E" w:rsidRDefault="0020499E"/>
    <w:p w:rsidR="0020499E" w:rsidRDefault="008E27E1">
      <w:pPr>
        <w:jc w:val="center"/>
        <w:rPr>
          <w:b/>
        </w:rPr>
      </w:pPr>
      <w:r>
        <w:rPr>
          <w:b/>
        </w:rPr>
        <w:t>Total Production (All fields aggregated) Geor</w:t>
      </w:r>
      <w:r>
        <w:rPr>
          <w:b/>
        </w:rPr>
        <w:t>gia (2004-2012)</w:t>
      </w:r>
    </w:p>
    <w:p w:rsidR="0020499E" w:rsidRDefault="0020499E"/>
    <w:p w:rsidR="0020499E" w:rsidRDefault="008E27E1">
      <w:r>
        <w:rPr>
          <w:noProof/>
        </w:rPr>
        <w:drawing>
          <wp:inline distT="0" distB="0" distL="0" distR="0">
            <wp:extent cx="3010619" cy="3329797"/>
            <wp:effectExtent l="0" t="0" r="0" b="444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noProof/>
          <w:shd w:val="clear" w:color="auto" w:fill="C00000"/>
        </w:rPr>
        <w:drawing>
          <wp:inline distT="0" distB="0" distL="0" distR="0">
            <wp:extent cx="2958860" cy="3329796"/>
            <wp:effectExtent l="0" t="0" r="0" b="444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0499E" w:rsidRDefault="008E27E1">
      <w:pPr>
        <w:ind w:left="720" w:firstLine="720"/>
        <w:rPr>
          <w:sz w:val="16"/>
          <w:szCs w:val="16"/>
        </w:rPr>
      </w:pPr>
      <w:r>
        <w:rPr>
          <w:sz w:val="16"/>
          <w:szCs w:val="16"/>
        </w:rPr>
        <w:t>Source: Scopus database</w:t>
      </w:r>
      <w:r>
        <w:rPr>
          <w:sz w:val="16"/>
          <w:szCs w:val="16"/>
        </w:rPr>
        <w:tab/>
      </w:r>
      <w:r>
        <w:rPr>
          <w:sz w:val="16"/>
          <w:szCs w:val="16"/>
        </w:rPr>
        <w:tab/>
      </w:r>
      <w:r>
        <w:rPr>
          <w:sz w:val="16"/>
          <w:szCs w:val="16"/>
        </w:rPr>
        <w:tab/>
      </w:r>
      <w:r>
        <w:rPr>
          <w:sz w:val="16"/>
          <w:szCs w:val="16"/>
        </w:rPr>
        <w:tab/>
        <w:t>Source: ISI Web of Science (Core Collection)</w:t>
      </w:r>
    </w:p>
    <w:p w:rsidR="0020499E" w:rsidRDefault="0020499E"/>
    <w:p w:rsidR="0020499E" w:rsidRDefault="008E27E1">
      <w:r>
        <w:t xml:space="preserve">The output growth speed in Georgia exceeds the overall growth rate in both databases since 2011, but depending on the database, the comparison with other </w:t>
      </w:r>
      <w:r>
        <w:t>Post-Soviet countries yields different results:</w:t>
      </w:r>
    </w:p>
    <w:p w:rsidR="0020499E" w:rsidRDefault="0020499E">
      <w:pPr>
        <w:ind w:left="720"/>
      </w:pPr>
    </w:p>
    <w:p w:rsidR="0020499E" w:rsidRDefault="008E27E1">
      <w:pPr>
        <w:pStyle w:val="ListParagraph"/>
        <w:numPr>
          <w:ilvl w:val="0"/>
          <w:numId w:val="6"/>
        </w:numPr>
        <w:rPr>
          <w:rFonts w:ascii="Verdana" w:hAnsi="Verdana"/>
          <w:sz w:val="20"/>
          <w:szCs w:val="20"/>
        </w:rPr>
      </w:pPr>
      <w:r>
        <w:rPr>
          <w:rFonts w:ascii="Verdana" w:hAnsi="Verdana"/>
          <w:sz w:val="20"/>
          <w:szCs w:val="20"/>
        </w:rPr>
        <w:t xml:space="preserve">In Scopus database, research output production grows faster than in 3 out of 9 Post-Soviet countries. In particular, Georgia shows better growth rate than Russia, Belarus and Ukraine.  </w:t>
      </w:r>
    </w:p>
    <w:p w:rsidR="0020499E" w:rsidRDefault="008E27E1">
      <w:pPr>
        <w:pStyle w:val="ListParagraph"/>
        <w:numPr>
          <w:ilvl w:val="0"/>
          <w:numId w:val="6"/>
        </w:numPr>
        <w:rPr>
          <w:rFonts w:ascii="Verdana" w:hAnsi="Verdana"/>
          <w:sz w:val="20"/>
          <w:szCs w:val="20"/>
        </w:rPr>
      </w:pPr>
      <w:r>
        <w:rPr>
          <w:rFonts w:ascii="Verdana" w:hAnsi="Verdana"/>
          <w:sz w:val="20"/>
          <w:szCs w:val="20"/>
        </w:rPr>
        <w:t>In the Web of Science</w:t>
      </w:r>
      <w:r>
        <w:rPr>
          <w:rFonts w:ascii="Verdana" w:hAnsi="Verdana"/>
          <w:sz w:val="20"/>
          <w:szCs w:val="20"/>
        </w:rPr>
        <w:t xml:space="preserve"> database, the total output of Georgia grows faster than in 6 out of 9 Post Soviet countries and is slower than in Estonia, Lithuania and Azerbaijan.  </w:t>
      </w:r>
    </w:p>
    <w:p w:rsidR="0020499E" w:rsidRDefault="0020499E"/>
    <w:p w:rsidR="0020499E" w:rsidRDefault="008E27E1">
      <w:r>
        <w:t>As indicated above, however, in countries with small research output, growth rates fluctuate more and a</w:t>
      </w:r>
      <w:r>
        <w:t xml:space="preserve">re less significant than in countries with larger research output. Therefore, in such cases (Georgia, Armenia, Azerbaijan, Latvia) the indicator should be interpreted with caution. </w:t>
      </w:r>
    </w:p>
    <w:p w:rsidR="0020499E" w:rsidRDefault="0020499E">
      <w:pPr>
        <w:autoSpaceDE/>
        <w:autoSpaceDN/>
        <w:adjustRightInd/>
        <w:jc w:val="left"/>
        <w:rPr>
          <w:b/>
        </w:rPr>
      </w:pPr>
    </w:p>
    <w:p w:rsidR="0020499E" w:rsidRDefault="008E27E1">
      <w:pPr>
        <w:jc w:val="center"/>
      </w:pPr>
      <w:r>
        <w:rPr>
          <w:b/>
        </w:rPr>
        <w:lastRenderedPageBreak/>
        <w:t>Relative growth in publication activity; Index 1 is 2004 publication outp</w:t>
      </w:r>
      <w:r>
        <w:rPr>
          <w:b/>
        </w:rPr>
        <w:t>ut (World is equal to growth in the database coverage for the period)</w:t>
      </w:r>
    </w:p>
    <w:p w:rsidR="0020499E" w:rsidRDefault="008E27E1">
      <w:pPr>
        <w:rPr>
          <w:b/>
        </w:rPr>
      </w:pPr>
      <w:r>
        <w:rPr>
          <w:noProof/>
        </w:rPr>
        <w:drawing>
          <wp:inline distT="0" distB="0" distL="0" distR="0">
            <wp:extent cx="3485072" cy="4520242"/>
            <wp:effectExtent l="0" t="0" r="127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noProof/>
        </w:rPr>
        <w:drawing>
          <wp:inline distT="0" distB="0" distL="0" distR="0">
            <wp:extent cx="2406770" cy="4822166"/>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0499E" w:rsidRDefault="008E27E1">
      <w:pPr>
        <w:rPr>
          <w:sz w:val="16"/>
          <w:szCs w:val="16"/>
        </w:rPr>
      </w:pPr>
      <w:r>
        <w:rPr>
          <w:sz w:val="16"/>
          <w:szCs w:val="16"/>
        </w:rPr>
        <w:t xml:space="preserve">    Source: Author calculations/ Scopus database</w:t>
      </w:r>
      <w:r>
        <w:rPr>
          <w:sz w:val="16"/>
          <w:szCs w:val="16"/>
        </w:rPr>
        <w:tab/>
        <w:t xml:space="preserve">   Source:  Author calculations/ISI Web of Science (Core Collection)</w:t>
      </w:r>
    </w:p>
    <w:p w:rsidR="0020499E" w:rsidRDefault="0020499E"/>
    <w:p w:rsidR="0020499E" w:rsidRDefault="008E27E1">
      <w:pPr>
        <w:pStyle w:val="Heading3"/>
      </w:pPr>
      <w:bookmarkStart w:id="9" w:name="_Toc389396897"/>
      <w:r>
        <w:t>1.2.2 Total Production Efficiency</w:t>
      </w:r>
      <w:bookmarkEnd w:id="9"/>
    </w:p>
    <w:p w:rsidR="0020499E" w:rsidRDefault="0020499E"/>
    <w:p w:rsidR="0020499E" w:rsidRDefault="008E27E1">
      <w:r>
        <w:t>Much of the differences among</w:t>
      </w:r>
      <w:r>
        <w:t xml:space="preserve"> countries in publication output can be attributed to differences in population size and investments in research. To better compare differences in publication output this subsection presents statistics on per capita production and total investments in rese</w:t>
      </w:r>
      <w:r>
        <w:t>arch.</w:t>
      </w:r>
    </w:p>
    <w:p w:rsidR="0020499E" w:rsidRDefault="0020499E"/>
    <w:p w:rsidR="0020499E" w:rsidRDefault="008E27E1">
      <w:r>
        <w:t>The analysis shows that research output production efficiency (measured as production per 1000 inhabitants) is lower in Georgia than in most of the comparator countries. Annual rate of production per 1000 inhabitants is 0.33 according to the Web of Science</w:t>
      </w:r>
      <w:r>
        <w:t xml:space="preserve"> database and 0.48 according to the Scopus database. Similar indicator equals to almost 5 in Estonia. </w:t>
      </w:r>
    </w:p>
    <w:p w:rsidR="0020499E" w:rsidRDefault="0020499E"/>
    <w:p w:rsidR="0020499E" w:rsidRDefault="008E27E1">
      <w:r>
        <w:t xml:space="preserve">In order to capture the efficiency growth trend the production efficiency indicator was calculated for three equal time periods – 2004-2006, 2007-2009, </w:t>
      </w:r>
      <w:r>
        <w:t xml:space="preserve">and 2010-2012. According to the both databases, efficiency grows in Georgia faster than in Russia, Azerbaijan, Belarus, Kazakhstan and Ukraine, but slower than in Armenia, Lithuania, Latvia and Estonia. </w:t>
      </w:r>
    </w:p>
    <w:p w:rsidR="0020499E" w:rsidRDefault="0020499E"/>
    <w:p w:rsidR="0020499E" w:rsidRDefault="008E27E1">
      <w:pPr>
        <w:autoSpaceDE/>
        <w:autoSpaceDN/>
        <w:adjustRightInd/>
        <w:jc w:val="left"/>
        <w:rPr>
          <w:b/>
        </w:rPr>
      </w:pPr>
      <w:r>
        <w:rPr>
          <w:b/>
        </w:rPr>
        <w:br w:type="page"/>
      </w:r>
    </w:p>
    <w:p w:rsidR="0020499E" w:rsidRDefault="008E27E1">
      <w:pPr>
        <w:jc w:val="center"/>
        <w:rPr>
          <w:b/>
        </w:rPr>
      </w:pPr>
      <w:r>
        <w:rPr>
          <w:b/>
        </w:rPr>
        <w:lastRenderedPageBreak/>
        <w:t>Total Publications per 1000 inhabitants</w:t>
      </w:r>
    </w:p>
    <w:p w:rsidR="0020499E" w:rsidRDefault="008E27E1">
      <w:r>
        <w:rPr>
          <w:noProof/>
        </w:rPr>
        <w:drawing>
          <wp:inline distT="0" distB="0" distL="0" distR="0">
            <wp:extent cx="3088257" cy="4226943"/>
            <wp:effectExtent l="0" t="0" r="0" b="254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noProof/>
        </w:rPr>
        <w:drawing>
          <wp:inline distT="0" distB="0" distL="0" distR="0">
            <wp:extent cx="2993367" cy="3321170"/>
            <wp:effectExtent l="0" t="0" r="0" b="0"/>
            <wp:docPr id="30" name="Chart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0499E" w:rsidRDefault="008E27E1">
      <w:pPr>
        <w:rPr>
          <w:sz w:val="16"/>
          <w:szCs w:val="16"/>
        </w:rPr>
      </w:pPr>
      <w:r>
        <w:rPr>
          <w:sz w:val="16"/>
          <w:szCs w:val="16"/>
        </w:rPr>
        <w:t>Source</w:t>
      </w:r>
      <w:r>
        <w:rPr>
          <w:sz w:val="16"/>
          <w:szCs w:val="16"/>
        </w:rPr>
        <w:t>: Author calculations/ Scopus database             Source:  Author calculations/ISI Web of Science (Core Collection)</w:t>
      </w:r>
    </w:p>
    <w:p w:rsidR="0020499E" w:rsidRDefault="0020499E"/>
    <w:p w:rsidR="0020499E" w:rsidRDefault="008E27E1">
      <w:r>
        <w:t>Production per capita correlates with Gross Expenditure on Research and Development (GERD). Georgia fits into the trend line. However, som</w:t>
      </w:r>
      <w:r>
        <w:t>e of the countries (Armenia, Lithuania, Estonia) perform significantly better than expected by the general trend.</w:t>
      </w:r>
    </w:p>
    <w:p w:rsidR="0020499E" w:rsidRDefault="0020499E">
      <w:pPr>
        <w:rPr>
          <w:b/>
        </w:rPr>
      </w:pPr>
    </w:p>
    <w:p w:rsidR="0020499E" w:rsidRDefault="008E27E1">
      <w:pPr>
        <w:jc w:val="center"/>
        <w:rPr>
          <w:b/>
        </w:rPr>
      </w:pPr>
      <w:r>
        <w:rPr>
          <w:b/>
        </w:rPr>
        <w:t>GERD and Total Production per capita (1000 inhabitants)</w:t>
      </w:r>
    </w:p>
    <w:p w:rsidR="0020499E" w:rsidRDefault="008E27E1">
      <w:pPr>
        <w:jc w:val="center"/>
      </w:pPr>
      <w:r>
        <w:rPr>
          <w:noProof/>
        </w:rPr>
        <w:drawing>
          <wp:inline distT="0" distB="0" distL="0" distR="0">
            <wp:extent cx="5771072" cy="3157268"/>
            <wp:effectExtent l="0" t="0" r="1270" b="5080"/>
            <wp:docPr id="31" name="Chart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20499E" w:rsidRDefault="008E27E1">
      <w:pPr>
        <w:pStyle w:val="Heading2"/>
      </w:pPr>
      <w:bookmarkStart w:id="10" w:name="_Toc389396898"/>
      <w:r>
        <w:lastRenderedPageBreak/>
        <w:t>1.3 Publication Profiles (by fields of science)</w:t>
      </w:r>
      <w:bookmarkEnd w:id="10"/>
    </w:p>
    <w:p w:rsidR="0020499E" w:rsidRDefault="0020499E"/>
    <w:p w:rsidR="0020499E" w:rsidRDefault="008E27E1">
      <w:pPr>
        <w:pStyle w:val="Heading3"/>
      </w:pPr>
      <w:bookmarkStart w:id="11" w:name="_Toc389396899"/>
      <w:r>
        <w:t>1.3.1 Total Production, Growth and</w:t>
      </w:r>
      <w:r>
        <w:t xml:space="preserve"> Efficiency by Fields</w:t>
      </w:r>
      <w:bookmarkEnd w:id="11"/>
    </w:p>
    <w:p w:rsidR="0020499E" w:rsidRDefault="0020499E"/>
    <w:p w:rsidR="0020499E" w:rsidRDefault="008E27E1">
      <w:r>
        <w:t>Breakdown of total production by fields shows that Natural Sciences account for most of the output growth in Georgia. There is a slight increase in production in the fields of medical sciences and engineering. Trend lines of other fi</w:t>
      </w:r>
      <w:r>
        <w:t xml:space="preserve">elds of science are mostly flat but as indicated above, databases themselves may be the cause of the problem in some fields in social science and humanities. </w:t>
      </w:r>
    </w:p>
    <w:p w:rsidR="0020499E" w:rsidRDefault="0020499E"/>
    <w:p w:rsidR="0020499E" w:rsidRDefault="008E27E1">
      <w:pPr>
        <w:jc w:val="center"/>
      </w:pPr>
      <w:r>
        <w:rPr>
          <w:b/>
        </w:rPr>
        <w:t>Total Production by fields (Georgia)</w:t>
      </w:r>
    </w:p>
    <w:p w:rsidR="0020499E" w:rsidRDefault="0020499E">
      <w:bookmarkStart w:id="12" w:name="_GoBack"/>
      <w:bookmarkEnd w:id="12"/>
      <w:r>
        <w:rPr>
          <w:noProof/>
        </w:rPr>
        <w:pict>
          <v:shapetype id="_x0000_t202" coordsize="21600,21600" o:spt="202" path="m,l,21600r21600,l21600,xe">
            <v:stroke joinstyle="miter"/>
            <v:path gradientshapeok="t" o:connecttype="rect"/>
          </v:shapetype>
          <v:shape id="Text Box 11" o:spid="_x0000_s1026" type="#_x0000_t202" style="position:absolute;left:0;text-align:left;margin-left:284.35pt;margin-top:7.15pt;width:186.2pt;height:26.3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" fillcolor="white [3201]" stroked="f" strokeweight=".5pt">
            <v:textbox>
              <w:txbxContent>
                <w:p w:rsidR="00536704" w:rsidRDefault="008E27E1">
                  <w:pPr>
                    <w:rPr>
                      <w:b/>
                    </w:rPr>
                  </w:pPr>
                  <w:r>
                    <w:rPr>
                      <w:b/>
                    </w:rPr>
                    <w:t>Web of Science database</w:t>
                  </w:r>
                </w:p>
              </w:txbxContent>
            </v:textbox>
          </v:shape>
        </w:pict>
      </w:r>
      <w:r>
        <w:rPr>
          <w:noProof/>
        </w:rPr>
        <w:pict>
          <v:shape id="Text Box 10" o:spid="_x0000_s1027" type="#_x0000_t202" style="position:absolute;left:0;text-align:left;margin-left:35.3pt;margin-top:6.8pt;width:186.2pt;height:26.3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" fillcolor="white [3201]" stroked="f" strokeweight=".5pt">
            <v:textbox>
              <w:txbxContent>
                <w:p w:rsidR="00536704" w:rsidRDefault="008E27E1">
                  <w:pPr>
                    <w:rPr>
                      <w:b/>
                    </w:rPr>
                  </w:pPr>
                  <w:r>
                    <w:rPr>
                      <w:b/>
                    </w:rPr>
                    <w:t>Scopus database</w:t>
                  </w:r>
                </w:p>
              </w:txbxContent>
            </v:textbox>
          </v:shape>
        </w:pict>
      </w:r>
    </w:p>
    <w:p w:rsidR="0020499E" w:rsidRDefault="0020499E"/>
    <w:p w:rsidR="0020499E" w:rsidRDefault="008E27E1">
      <w:pPr>
        <w:jc w:val="center"/>
      </w:pPr>
      <w:r>
        <w:rPr>
          <w:noProof/>
        </w:rPr>
        <w:drawing>
          <wp:inline distT="0" distB="0" distL="0" distR="0">
            <wp:extent cx="3122762" cy="2570672"/>
            <wp:effectExtent l="0" t="0" r="1905" b="127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noProof/>
        </w:rPr>
        <w:drawing>
          <wp:inline distT="0" distB="0" distL="0" distR="0">
            <wp:extent cx="2337758" cy="2562046"/>
            <wp:effectExtent l="0" t="0" r="5715" b="0"/>
            <wp:docPr id="35" name="Chart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20499E" w:rsidRDefault="0020499E"/>
    <w:p w:rsidR="0020499E" w:rsidRDefault="008E27E1">
      <w:pPr>
        <w:rPr>
          <w:b/>
        </w:rPr>
      </w:pPr>
      <w:r>
        <w:t xml:space="preserve">Georgian research production per capita in Mathematics and Physics is relatively better than in other countries. </w:t>
      </w:r>
    </w:p>
    <w:p w:rsidR="0020499E" w:rsidRDefault="008E27E1">
      <w:pPr>
        <w:jc w:val="center"/>
        <w:rPr>
          <w:rFonts w:eastAsia="Times New Roman"/>
        </w:rPr>
      </w:pPr>
      <w:r>
        <w:rPr>
          <w:b/>
        </w:rPr>
        <w:t>Total Production per capita (100,000 inhabitants) by fields and countries</w:t>
      </w:r>
      <w:r>
        <w:rPr>
          <w:noProof/>
        </w:rPr>
        <w:drawing>
          <wp:inline distT="0" distB="0" distL="0" distR="0">
            <wp:extent cx="6297283" cy="139748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6294120" cy="1396778"/>
                    </a:xfrm>
                    <a:prstGeom prst="rect">
                      <a:avLst/>
                    </a:prstGeom>
                  </pic:spPr>
                </pic:pic>
              </a:graphicData>
            </a:graphic>
          </wp:inline>
        </w:drawing>
      </w:r>
    </w:p>
    <w:p w:rsidR="0020499E" w:rsidRDefault="008E27E1">
      <w:pPr>
        <w:rPr>
          <w:sz w:val="16"/>
          <w:szCs w:val="16"/>
        </w:rPr>
      </w:pPr>
      <w:r>
        <w:rPr>
          <w:sz w:val="16"/>
          <w:szCs w:val="16"/>
        </w:rPr>
        <w:t>Source: Author calculations/ Web of Science database (2010-2012)</w:t>
      </w:r>
    </w:p>
    <w:p w:rsidR="0020499E" w:rsidRDefault="0020499E"/>
    <w:p w:rsidR="0020499E" w:rsidRDefault="008E27E1">
      <w:r>
        <w:rPr>
          <w:noProof/>
        </w:rPr>
        <w:drawing>
          <wp:inline distT="0" distB="0" distL="0" distR="0">
            <wp:extent cx="6293050" cy="135434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6302580" cy="1356398"/>
                    </a:xfrm>
                    <a:prstGeom prst="rect">
                      <a:avLst/>
                    </a:prstGeom>
                  </pic:spPr>
                </pic:pic>
              </a:graphicData>
            </a:graphic>
          </wp:inline>
        </w:drawing>
      </w:r>
    </w:p>
    <w:p w:rsidR="0020499E" w:rsidRDefault="008E27E1">
      <w:pPr>
        <w:rPr>
          <w:sz w:val="16"/>
          <w:szCs w:val="16"/>
        </w:rPr>
      </w:pPr>
      <w:r>
        <w:rPr>
          <w:sz w:val="16"/>
          <w:szCs w:val="16"/>
        </w:rPr>
        <w:t>Source: Author calculations/ Scopus database (2010-2012)</w:t>
      </w:r>
    </w:p>
    <w:p w:rsidR="0020499E" w:rsidRDefault="0020499E"/>
    <w:p w:rsidR="0020499E" w:rsidRDefault="008E27E1">
      <w:pPr>
        <w:pStyle w:val="Heading3"/>
      </w:pPr>
      <w:bookmarkStart w:id="13" w:name="_Toc389396900"/>
      <w:r>
        <w:lastRenderedPageBreak/>
        <w:t>1.3.2 Specialization</w:t>
      </w:r>
      <w:bookmarkEnd w:id="13"/>
    </w:p>
    <w:p w:rsidR="0020499E" w:rsidRDefault="0020499E"/>
    <w:p w:rsidR="0020499E" w:rsidRDefault="008E27E1">
      <w:r>
        <w:t xml:space="preserve">The publication profile of national research in Georgia and other Post-Soviet countries is expressed in this subsection by the Relative Specialization Index (RSI), defined in </w:t>
      </w:r>
      <w:r>
        <w:t xml:space="preserve">REIST-2 (1997). RSI indicates whether a country has a relatively higher or lower share in world publications in particular fields of science than its overall share in the world total of publications. </w:t>
      </w:r>
    </w:p>
    <w:p w:rsidR="0020499E" w:rsidRDefault="0020499E"/>
    <w:p w:rsidR="0020499E" w:rsidRDefault="008E27E1">
      <w:r>
        <w:t xml:space="preserve">The RSI is a relative indicator based on the Activity </w:t>
      </w:r>
      <w:r>
        <w:t>Index (AI). The Activity Index is defined as:</w:t>
      </w:r>
    </w:p>
    <w:p w:rsidR="0020499E" w:rsidRDefault="0020499E"/>
    <w:p w:rsidR="0020499E" w:rsidRDefault="008E27E1">
      <m:oMathPara>
        <m:oMath>
          <m:r>
            <m:rPr>
              <m:sty m:val="p"/>
            </m:rPr>
            <w:rPr>
              <w:rFonts w:ascii="Cambria Math" w:hAnsi="Cambria Math"/>
            </w:rPr>
            <m:t>AI =</m:t>
          </m:r>
          <m:f>
            <m:fPr>
              <m:ctrlPr>
                <w:rPr>
                  <w:rFonts w:ascii="Cambria Math" w:hAnsi="Cambria Math"/>
                </w:rPr>
              </m:ctrlPr>
            </m:fPr>
            <m:num>
              <m:r>
                <m:rPr>
                  <m:sty m:val="p"/>
                </m:rPr>
                <w:rPr>
                  <w:rFonts w:ascii="Cambria Math" w:hAnsi="Cambria Math"/>
                </w:rPr>
                <m:t>The share of a given field in total publications of the given country</m:t>
              </m:r>
            </m:num>
            <m:den>
              <m:r>
                <m:rPr>
                  <m:sty m:val="p"/>
                </m:rPr>
                <w:rPr>
                  <w:rFonts w:ascii="Cambria Math" w:hAnsi="Cambria Math"/>
                </w:rPr>
                <m:t>The share of given field in the world total of publications</m:t>
              </m:r>
            </m:den>
          </m:f>
        </m:oMath>
      </m:oMathPara>
    </w:p>
    <w:p w:rsidR="0020499E" w:rsidRDefault="0020499E"/>
    <w:p w:rsidR="0020499E" w:rsidRDefault="008E27E1">
      <w:r>
        <w:t>RSI is then defined by putting specific country indicators on the same scal</w:t>
      </w:r>
      <w:r>
        <w:t>e with the common benchmark.  The benchmark used for all research fields is RSI = 1, which corresponds to the world standard case and is graphically visualized by a regular polygon. Any country’s deviation from this standard therefore results in more or le</w:t>
      </w:r>
      <w:r>
        <w:t>ss characteristic deformation of the regular polygon.</w:t>
      </w:r>
    </w:p>
    <w:p w:rsidR="0020499E" w:rsidRDefault="0020499E"/>
    <w:p w:rsidR="0020499E" w:rsidRDefault="008E27E1">
      <w:r>
        <w:t>RSI indicates whether a country has higher-than-average activity in a scientific field (RSI &gt;1) or a lower-than-average activity (RSI &lt;1). RSI = 1 reflects a completely balanced situation. It is import</w:t>
      </w:r>
      <w:r>
        <w:t>ant to note that RSI reflects a certain internal balance among the fields in the given country, i.e. positive RSI values must always be balanced by negative ones (no country can have its RSI values all positive or all negative). Furthermore, low values ind</w:t>
      </w:r>
      <w:r>
        <w:t>icate homogenous distributions between the various research fields.</w:t>
      </w:r>
    </w:p>
    <w:p w:rsidR="0020499E" w:rsidRDefault="0020499E"/>
    <w:p w:rsidR="0020499E" w:rsidRDefault="008E27E1">
      <w:r>
        <w:t>The share of articles in physics and mathematics is greater than average in Georgia. Also the share of Medical and Health sciences slightly deviate from the norm in the Web of Science dat</w:t>
      </w:r>
      <w:r>
        <w:t>abase.</w:t>
      </w:r>
    </w:p>
    <w:p w:rsidR="0020499E" w:rsidRDefault="0020499E">
      <w:pPr>
        <w:autoSpaceDE/>
        <w:autoSpaceDN/>
        <w:adjustRightInd/>
        <w:jc w:val="left"/>
        <w:rPr>
          <w:b/>
        </w:rPr>
      </w:pPr>
    </w:p>
    <w:p w:rsidR="0020499E" w:rsidRDefault="008E27E1">
      <w:pPr>
        <w:jc w:val="center"/>
        <w:rPr>
          <w:b/>
        </w:rPr>
      </w:pPr>
      <w:r>
        <w:rPr>
          <w:b/>
        </w:rPr>
        <w:t>Relative Specialization index (RSI) in Georgia (2010-2012)</w:t>
      </w:r>
    </w:p>
    <w:p w:rsidR="0020499E" w:rsidRDefault="008E27E1">
      <w:r>
        <w:rPr>
          <w:noProof/>
        </w:rPr>
        <w:drawing>
          <wp:inline distT="0" distB="0" distL="0" distR="0">
            <wp:extent cx="2933700" cy="2419350"/>
            <wp:effectExtent l="0" t="0" r="0"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Pr>
          <w:noProof/>
        </w:rPr>
        <w:drawing>
          <wp:inline distT="0" distB="0" distL="0" distR="0">
            <wp:extent cx="3067050" cy="2305050"/>
            <wp:effectExtent l="0" t="0" r="0" b="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20499E" w:rsidRDefault="008E27E1">
      <w:pPr>
        <w:jc w:val="center"/>
        <w:rPr>
          <w:b/>
          <w:sz w:val="16"/>
          <w:szCs w:val="16"/>
        </w:rPr>
      </w:pPr>
      <w:r>
        <w:rPr>
          <w:sz w:val="16"/>
          <w:szCs w:val="16"/>
        </w:rPr>
        <w:t>Source: Scopus database (2010-2012)</w:t>
      </w:r>
      <w:r>
        <w:rPr>
          <w:sz w:val="16"/>
          <w:szCs w:val="16"/>
        </w:rPr>
        <w:tab/>
      </w:r>
      <w:r>
        <w:rPr>
          <w:sz w:val="16"/>
          <w:szCs w:val="16"/>
        </w:rPr>
        <w:tab/>
        <w:t>Source: Web of Science database (2010-2012)</w:t>
      </w:r>
    </w:p>
    <w:p w:rsidR="0020499E" w:rsidRDefault="0020499E"/>
    <w:p w:rsidR="0020499E" w:rsidRDefault="008E27E1">
      <w:r>
        <w:t xml:space="preserve">When comparing Georgia to the countries included in our analysis, two major clusters appear. </w:t>
      </w:r>
    </w:p>
    <w:p w:rsidR="0020499E" w:rsidRDefault="0020499E"/>
    <w:p w:rsidR="0020499E" w:rsidRDefault="008E27E1">
      <w:pPr>
        <w:pStyle w:val="ListParagraph"/>
        <w:numPr>
          <w:ilvl w:val="0"/>
          <w:numId w:val="4"/>
        </w:numPr>
        <w:rPr>
          <w:rFonts w:ascii="Verdana" w:eastAsia="Calibri" w:hAnsi="Verdana"/>
          <w:snapToGrid/>
          <w:sz w:val="20"/>
          <w:szCs w:val="20"/>
        </w:rPr>
      </w:pPr>
      <w:r>
        <w:rPr>
          <w:rFonts w:ascii="Verdana" w:eastAsia="Calibri" w:hAnsi="Verdana"/>
          <w:snapToGrid/>
          <w:sz w:val="20"/>
          <w:szCs w:val="20"/>
        </w:rPr>
        <w:t xml:space="preserve">The first cluster (Russia, Ukraine, Azerbaijan) demonstrate intensive activity in Physics, Mathematics and Chemistry. </w:t>
      </w:r>
    </w:p>
    <w:p w:rsidR="0020499E" w:rsidRDefault="008E27E1">
      <w:pPr>
        <w:pStyle w:val="ListParagraph"/>
        <w:numPr>
          <w:ilvl w:val="0"/>
          <w:numId w:val="4"/>
        </w:numPr>
        <w:rPr>
          <w:rFonts w:ascii="Verdana" w:eastAsia="Calibri" w:hAnsi="Verdana"/>
          <w:snapToGrid/>
          <w:sz w:val="20"/>
          <w:szCs w:val="20"/>
        </w:rPr>
      </w:pPr>
      <w:r>
        <w:rPr>
          <w:rFonts w:ascii="Verdana" w:eastAsia="Calibri" w:hAnsi="Verdana"/>
          <w:snapToGrid/>
          <w:sz w:val="20"/>
          <w:szCs w:val="20"/>
        </w:rPr>
        <w:t>The second cluster is formed by Baltic countries that have different polygon with larger output (compared to world standard) in fields ot</w:t>
      </w:r>
      <w:r>
        <w:rPr>
          <w:rFonts w:ascii="Verdana" w:eastAsia="Calibri" w:hAnsi="Verdana"/>
          <w:snapToGrid/>
          <w:sz w:val="20"/>
          <w:szCs w:val="20"/>
        </w:rPr>
        <w:t>her than physics, mathematics and chemistry.</w:t>
      </w:r>
    </w:p>
    <w:p w:rsidR="0020499E" w:rsidRDefault="0020499E">
      <w:pPr>
        <w:pStyle w:val="ListParagraph"/>
        <w:rPr>
          <w:rFonts w:ascii="Verdana" w:eastAsia="Calibri" w:hAnsi="Verdana"/>
          <w:snapToGrid/>
          <w:sz w:val="20"/>
          <w:szCs w:val="20"/>
          <w:lang w:bidi="ar-SA"/>
        </w:rPr>
      </w:pPr>
    </w:p>
    <w:p w:rsidR="0020499E" w:rsidRDefault="008E27E1">
      <w:r>
        <w:lastRenderedPageBreak/>
        <w:t>Georgia shows significant similarities with the first cluster in terms of predominant focus on physics, however, the patterns of distribution of share of output in Georgia by fields differs from both clusters a</w:t>
      </w:r>
      <w:r>
        <w:t>s Georgia displays significantly larger output in mathematics and slightly larger output in Medical Sciences (see Annex 4 for a detailed comparison).</w:t>
      </w:r>
    </w:p>
    <w:p w:rsidR="0020499E" w:rsidRDefault="0020499E"/>
    <w:p w:rsidR="0020499E" w:rsidRDefault="008E27E1">
      <w:pPr>
        <w:pStyle w:val="Heading3"/>
      </w:pPr>
      <w:bookmarkStart w:id="14" w:name="_Toc389396901"/>
      <w:r>
        <w:t>1.3.3 Citation Impact</w:t>
      </w:r>
      <w:bookmarkEnd w:id="14"/>
    </w:p>
    <w:p w:rsidR="0020499E" w:rsidRDefault="0020499E"/>
    <w:p w:rsidR="0020499E" w:rsidRDefault="008E27E1">
      <w:r>
        <w:t>The present section attempts to analyze the quality of research output based on ci</w:t>
      </w:r>
      <w:r>
        <w:t>tation impact (CI) metrics. Citations Impact is a commonly used indicator in bibliometric analysis to estimate influence and quality of research output over time or for specific groups. Citation metrics are used as indicators of scientific value because mo</w:t>
      </w:r>
      <w:r>
        <w:t>re influential work would tend to be more frequently cited. The term ‘impact’ is now accepted as appropriate for what citations measure or indicate, and the citation-based relative analysis of the scientific impact of different fields is also a widely acce</w:t>
      </w:r>
      <w:r>
        <w:t>pted approach (Thelwall 2007).</w:t>
      </w:r>
    </w:p>
    <w:p w:rsidR="0020499E" w:rsidRDefault="0020499E"/>
    <w:p w:rsidR="0020499E" w:rsidRDefault="008E27E1">
      <w:r>
        <w:t>Citation impact (“Citations per paper”) is computed by dividing the sum of citations to some set of papers for a defined time period by the number of papers (paper count). The citations per paper score is an attempt to weigh</w:t>
      </w:r>
      <w:r>
        <w:t xml:space="preserve"> impact with respect to output, since a greater number of publications tends to produce a greater number of citations. Citations impact is therefore a useful indicator when comparing large and small producers.</w:t>
      </w:r>
    </w:p>
    <w:p w:rsidR="0020499E" w:rsidRDefault="0020499E"/>
    <w:p w:rsidR="0020499E" w:rsidRDefault="008E27E1">
      <w:r>
        <w:t>Citation impact scores in this report are cal</w:t>
      </w:r>
      <w:r>
        <w:t>culated for several countries including Georgia. Calculations are made for two time periods – 2004-2012 and 2010-2012. The indicator shows average citations (of the given time period) per document published during the source year, i.e. citations in years X</w:t>
      </w:r>
      <w:r>
        <w:t>, X+1, X+2, X+3... to documents published during year X. When referred to the period 2004-2012, all published documents during this period areconsidered. The scores are then normalized by the world average to present country scores as an index (compared to</w:t>
      </w:r>
      <w:r>
        <w:t xml:space="preserve"> world average for the same period). Citation Index (CI) shows Citation Impact of countries compared to the world average. </w:t>
      </w:r>
    </w:p>
    <w:p w:rsidR="0020499E" w:rsidRDefault="0020499E"/>
    <w:p w:rsidR="0020499E" w:rsidRDefault="008E27E1">
      <w:r>
        <w:t>Aggregated Citation Impact Index for all fields is shown below followed by the analysis of specific Citation Impact for the largest</w:t>
      </w:r>
      <w:r>
        <w:t xml:space="preserve"> research fields (compared to similar indicators for the Eastern Europe). </w:t>
      </w:r>
    </w:p>
    <w:p w:rsidR="0020499E" w:rsidRDefault="0020499E">
      <w:pPr>
        <w:autoSpaceDE/>
        <w:autoSpaceDN/>
        <w:adjustRightInd/>
        <w:jc w:val="left"/>
        <w:rPr>
          <w:b/>
        </w:rPr>
      </w:pPr>
    </w:p>
    <w:p w:rsidR="0020499E" w:rsidRDefault="008E27E1">
      <w:pPr>
        <w:autoSpaceDE/>
        <w:autoSpaceDN/>
        <w:adjustRightInd/>
        <w:jc w:val="left"/>
        <w:rPr>
          <w:b/>
        </w:rPr>
      </w:pPr>
      <w:r>
        <w:rPr>
          <w:b/>
        </w:rPr>
        <w:t>Citation Impact (CI) Index aggregated all fields (Scopus database)</w:t>
      </w:r>
    </w:p>
    <w:p w:rsidR="0020499E" w:rsidRDefault="0020499E"/>
    <w:p w:rsidR="0020499E" w:rsidRDefault="008E27E1">
      <w:r>
        <w:t>Aggregated all fields (2004-2012)</w:t>
      </w:r>
      <w:r>
        <w:tab/>
      </w:r>
      <w:r>
        <w:tab/>
      </w:r>
      <w:r>
        <w:tab/>
        <w:t>Aggregated all fields (2010-2012)</w:t>
      </w:r>
    </w:p>
    <w:p w:rsidR="0020499E" w:rsidRDefault="008E27E1">
      <w:r>
        <w:rPr>
          <w:noProof/>
        </w:rPr>
        <w:drawing>
          <wp:inline distT="0" distB="0" distL="0" distR="0">
            <wp:extent cx="2855343" cy="2501660"/>
            <wp:effectExtent l="0" t="0" r="2540" b="0"/>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Pr>
          <w:noProof/>
        </w:rPr>
        <w:drawing>
          <wp:inline distT="0" distB="0" distL="0" distR="0">
            <wp:extent cx="2734574" cy="2449902"/>
            <wp:effectExtent l="0" t="0" r="8890" b="7620"/>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20499E" w:rsidRDefault="008E27E1">
      <w:r>
        <w:t>Analysis of CI in the Scopus database s</w:t>
      </w:r>
      <w:r>
        <w:t xml:space="preserve">hows that while Georgia has moderate results in terms of production (quantity of output) its position is much better with regard to impact and influence </w:t>
      </w:r>
      <w:r>
        <w:lastRenderedPageBreak/>
        <w:t>(quality) of output. Georgia outperforms most countries by this indicator for the entire period 2004-20</w:t>
      </w:r>
      <w:r>
        <w:t xml:space="preserve">12 as well as shows significant increase in influence for the articles published during 2010-2012. </w:t>
      </w:r>
    </w:p>
    <w:p w:rsidR="0020499E" w:rsidRDefault="0020499E"/>
    <w:p w:rsidR="0020499E" w:rsidRDefault="008E27E1">
      <w:r>
        <w:t xml:space="preserve">A similar trend can be observed in the Web of Science database.  </w:t>
      </w:r>
    </w:p>
    <w:p w:rsidR="0020499E" w:rsidRDefault="0020499E"/>
    <w:p w:rsidR="0020499E" w:rsidRDefault="008E27E1">
      <w:r>
        <w:t>An analysis of the aggregated Citation Impact and H indices</w:t>
      </w:r>
      <w:r>
        <w:rPr>
          <w:rStyle w:val="FootnoteReference"/>
        </w:rPr>
        <w:footnoteReference w:id="2"/>
      </w:r>
      <w:r>
        <w:t xml:space="preserve"> for several countries clearly shows that Georgia has a leading position among selected Post-Soviet countries. The average citation rate per article is the highest. H index 50 indicates that there are at least 50 articles in the total output for the period</w:t>
      </w:r>
      <w:r>
        <w:t xml:space="preserve"> 2010-2012 with at least 50 citations. This indicator allows us to exclude the possibility that CI is influenced by extremely high citation rates of several articles. </w:t>
      </w:r>
    </w:p>
    <w:p w:rsidR="0020499E" w:rsidRDefault="0020499E">
      <w:pPr>
        <w:rPr>
          <w:b/>
        </w:rPr>
      </w:pPr>
    </w:p>
    <w:p w:rsidR="0020499E" w:rsidRDefault="008E27E1">
      <w:pPr>
        <w:jc w:val="center"/>
        <w:rPr>
          <w:b/>
        </w:rPr>
      </w:pPr>
      <w:r>
        <w:rPr>
          <w:b/>
        </w:rPr>
        <w:t xml:space="preserve">Citation Impact (CI) and H Index aggregated all fields 2010-2013 </w:t>
      </w:r>
    </w:p>
    <w:p w:rsidR="0020499E" w:rsidRDefault="008E27E1">
      <w:r>
        <w:rPr>
          <w:noProof/>
        </w:rPr>
        <w:drawing>
          <wp:inline distT="0" distB="0" distL="0" distR="0">
            <wp:extent cx="5295900" cy="1866900"/>
            <wp:effectExtent l="0" t="0" r="0" b="0"/>
            <wp:docPr id="40" name="Chart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20499E" w:rsidRDefault="008E27E1">
      <w:pPr>
        <w:jc w:val="center"/>
        <w:rPr>
          <w:sz w:val="18"/>
        </w:rPr>
      </w:pPr>
      <w:r>
        <w:rPr>
          <w:sz w:val="18"/>
        </w:rPr>
        <w:t xml:space="preserve">Source: Web of </w:t>
      </w:r>
      <w:r>
        <w:rPr>
          <w:sz w:val="18"/>
        </w:rPr>
        <w:t>Science Database</w:t>
      </w:r>
    </w:p>
    <w:p w:rsidR="0020499E" w:rsidRDefault="0020499E"/>
    <w:p w:rsidR="0020499E" w:rsidRDefault="008E27E1">
      <w:r>
        <w:t>The most influential articles are concentrated in the fields of natural sciences where the CI scores of Georgia are higher than in other Post-Soviet countries including the Baltic States. However, the overall picture for the country may b</w:t>
      </w:r>
      <w:r>
        <w:t>e distorted because the share of publications produced by large international projects (Natural sciences) is extremely large in the total output of Georgia. The total number of such publications is approximately similar in all Post-Soviet countries, but du</w:t>
      </w:r>
      <w:r>
        <w:t>e to the small volume of the total output in Georgia, Azerbaijan and Armenia, a high CI of these articles may significantly change country average indicators.</w:t>
      </w:r>
    </w:p>
    <w:p w:rsidR="0020499E" w:rsidRDefault="0020499E"/>
    <w:p w:rsidR="0020499E" w:rsidRDefault="008E27E1">
      <w:pPr>
        <w:jc w:val="center"/>
      </w:pPr>
      <w:r>
        <w:rPr>
          <w:b/>
        </w:rPr>
        <w:t xml:space="preserve">Average Citation Impact (CI) by selected fields and countries (2010-2012) </w:t>
      </w:r>
      <w:r>
        <w:rPr>
          <w:noProof/>
        </w:rPr>
        <w:drawing>
          <wp:inline distT="0" distB="0" distL="0" distR="0">
            <wp:extent cx="5960853" cy="2078966"/>
            <wp:effectExtent l="0" t="0" r="1905" b="0"/>
            <wp:docPr id="41" name="Chart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20499E" w:rsidRDefault="008E27E1">
      <w:pPr>
        <w:jc w:val="center"/>
        <w:rPr>
          <w:sz w:val="16"/>
        </w:rPr>
      </w:pPr>
      <w:r>
        <w:rPr>
          <w:sz w:val="16"/>
        </w:rPr>
        <w:t>Source: Scopus Datab</w:t>
      </w:r>
      <w:r>
        <w:rPr>
          <w:sz w:val="16"/>
        </w:rPr>
        <w:t>ase</w:t>
      </w:r>
    </w:p>
    <w:p w:rsidR="0020499E" w:rsidRDefault="0020499E"/>
    <w:p w:rsidR="0020499E" w:rsidRDefault="008E27E1">
      <w:pPr>
        <w:pStyle w:val="Heading2"/>
      </w:pPr>
      <w:bookmarkStart w:id="15" w:name="_Toc389396902"/>
      <w:r>
        <w:lastRenderedPageBreak/>
        <w:t>1.4 International Networking and Cooperation</w:t>
      </w:r>
      <w:bookmarkEnd w:id="15"/>
    </w:p>
    <w:p w:rsidR="0020499E" w:rsidRDefault="0020499E"/>
    <w:p w:rsidR="0020499E" w:rsidRDefault="008E27E1">
      <w:r>
        <w:t xml:space="preserve">Approximately 80% of the total output of Georgia (2004-2013) in the Web of Science database in all fields is produced in the frames of joint projects with other countries. Web of Science database lists 87 </w:t>
      </w:r>
      <w:r>
        <w:t xml:space="preserve">partner countries and 1145 partner institutions for the period 2004-2013.  The number of partner countries per year has not changed significantly since 1996, but the number of partner institutions per year has grown sharply after 2010. </w:t>
      </w:r>
    </w:p>
    <w:p w:rsidR="0020499E" w:rsidRDefault="0020499E">
      <w:pPr>
        <w:rPr>
          <w:b/>
        </w:rPr>
      </w:pPr>
    </w:p>
    <w:p w:rsidR="0020499E" w:rsidRDefault="008E27E1">
      <w:pPr>
        <w:jc w:val="center"/>
      </w:pPr>
      <w:r>
        <w:rPr>
          <w:b/>
        </w:rPr>
        <w:t xml:space="preserve">Partner countries </w:t>
      </w:r>
      <w:r>
        <w:rPr>
          <w:b/>
        </w:rPr>
        <w:t>and institutions (2004-2013)</w:t>
      </w:r>
    </w:p>
    <w:p w:rsidR="0020499E" w:rsidRDefault="008E27E1">
      <w:r>
        <w:rPr>
          <w:noProof/>
        </w:rPr>
        <w:drawing>
          <wp:inline distT="0" distB="0" distL="0" distR="0">
            <wp:extent cx="6366294" cy="2311879"/>
            <wp:effectExtent l="0" t="0" r="0" b="0"/>
            <wp:docPr id="22" name="Chart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20499E" w:rsidRDefault="008E27E1">
      <w:pPr>
        <w:jc w:val="center"/>
        <w:rPr>
          <w:sz w:val="16"/>
        </w:rPr>
      </w:pPr>
      <w:r>
        <w:rPr>
          <w:sz w:val="16"/>
        </w:rPr>
        <w:t>Source: Web of Science Database</w:t>
      </w:r>
    </w:p>
    <w:p w:rsidR="0020499E" w:rsidRDefault="0020499E"/>
    <w:p w:rsidR="0020499E" w:rsidRDefault="008E27E1">
      <w:r>
        <w:t>Partner countries can be grouped in three clusters, according to the intensity of their cooperation with Georgian authors. The First cluster is formed by four countries. Each of them cooperate</w:t>
      </w:r>
      <w:r>
        <w:t>s with Georgian authors in more than 20% of total number of publications in the Web of Science database for the period 2004-2013. The second cluster includes 20 countries. Each of them contributes to more than 10% of total output of Georgia in the Web of S</w:t>
      </w:r>
      <w:r>
        <w:t xml:space="preserve">cience database. </w:t>
      </w:r>
    </w:p>
    <w:p w:rsidR="0020499E" w:rsidRDefault="0020499E"/>
    <w:p w:rsidR="0020499E" w:rsidRDefault="008E27E1">
      <w:pPr>
        <w:jc w:val="center"/>
        <w:rPr>
          <w:b/>
        </w:rPr>
      </w:pPr>
      <w:r>
        <w:rPr>
          <w:b/>
        </w:rPr>
        <w:t>Clusters of Partner countries (Web of Science database)</w:t>
      </w:r>
    </w:p>
    <w:p w:rsidR="0020499E" w:rsidRDefault="0020499E"/>
    <w:tbl>
      <w:tblPr>
        <w:tblStyle w:val="LightShading-Accent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585"/>
        <w:gridCol w:w="2268"/>
        <w:gridCol w:w="4111"/>
        <w:gridCol w:w="1417"/>
      </w:tblGrid>
      <w:tr w:rsidR="0020499E" w:rsidTr="0020499E">
        <w:trPr>
          <w:cnfStyle w:val="100000000000"/>
          <w:trHeight w:val="288"/>
        </w:trPr>
        <w:tc>
          <w:tcPr>
            <w:cnfStyle w:val="001000000000"/>
            <w:tcW w:w="987" w:type="dxa"/>
            <w:tcBorders>
              <w:top w:val="none" w:sz="0" w:space="0" w:color="auto"/>
              <w:left w:val="none" w:sz="0" w:space="0" w:color="auto"/>
              <w:bottom w:val="none" w:sz="0" w:space="0" w:color="auto"/>
              <w:right w:val="none" w:sz="0" w:space="0" w:color="auto"/>
            </w:tcBorders>
            <w:shd w:val="clear" w:color="auto" w:fill="5B9BD5" w:themeFill="accent1"/>
          </w:tcPr>
          <w:p w:rsidR="0020499E" w:rsidRDefault="0020499E">
            <w:pPr>
              <w:jc w:val="center"/>
              <w:rPr>
                <w:color w:val="FFFFFF" w:themeColor="background1"/>
              </w:rPr>
            </w:pPr>
          </w:p>
          <w:p w:rsidR="0020499E" w:rsidRDefault="008E27E1">
            <w:pPr>
              <w:jc w:val="center"/>
              <w:rPr>
                <w:color w:val="FFFFFF" w:themeColor="background1"/>
              </w:rPr>
            </w:pPr>
            <w:r>
              <w:rPr>
                <w:color w:val="FFFFFF" w:themeColor="background1"/>
              </w:rPr>
              <w:t>Cluster</w:t>
            </w:r>
          </w:p>
        </w:tc>
        <w:tc>
          <w:tcPr>
            <w:tcW w:w="1531" w:type="dxa"/>
            <w:tcBorders>
              <w:top w:val="none" w:sz="0" w:space="0" w:color="auto"/>
              <w:left w:val="none" w:sz="0" w:space="0" w:color="auto"/>
              <w:bottom w:val="none" w:sz="0" w:space="0" w:color="auto"/>
              <w:right w:val="none" w:sz="0" w:space="0" w:color="auto"/>
            </w:tcBorders>
            <w:shd w:val="clear" w:color="auto" w:fill="5B9BD5" w:themeFill="accent1"/>
            <w:noWrap/>
            <w:hideMark/>
          </w:tcPr>
          <w:p w:rsidR="0020499E" w:rsidRDefault="008E27E1">
            <w:pPr>
              <w:jc w:val="center"/>
              <w:cnfStyle w:val="100000000000"/>
              <w:rPr>
                <w:color w:val="FFFFFF" w:themeColor="background1"/>
              </w:rPr>
            </w:pPr>
            <w:r>
              <w:rPr>
                <w:color w:val="FFFFFF" w:themeColor="background1"/>
              </w:rPr>
              <w:t>No of Joint publications (2004-2013)</w:t>
            </w:r>
          </w:p>
        </w:tc>
        <w:tc>
          <w:tcPr>
            <w:tcW w:w="2268" w:type="dxa"/>
            <w:tcBorders>
              <w:top w:val="none" w:sz="0" w:space="0" w:color="auto"/>
              <w:left w:val="none" w:sz="0" w:space="0" w:color="auto"/>
              <w:bottom w:val="none" w:sz="0" w:space="0" w:color="auto"/>
              <w:right w:val="none" w:sz="0" w:space="0" w:color="auto"/>
            </w:tcBorders>
            <w:shd w:val="clear" w:color="auto" w:fill="5B9BD5" w:themeFill="accent1"/>
            <w:noWrap/>
            <w:hideMark/>
          </w:tcPr>
          <w:p w:rsidR="0020499E" w:rsidRDefault="008E27E1">
            <w:pPr>
              <w:jc w:val="center"/>
              <w:cnfStyle w:val="100000000000"/>
              <w:rPr>
                <w:color w:val="FFFFFF" w:themeColor="background1"/>
              </w:rPr>
            </w:pPr>
            <w:r>
              <w:rPr>
                <w:color w:val="FFFFFF" w:themeColor="background1"/>
              </w:rPr>
              <w:t>Share of joint publications in total output (2004-2013)</w:t>
            </w:r>
          </w:p>
        </w:tc>
        <w:tc>
          <w:tcPr>
            <w:tcW w:w="4111" w:type="dxa"/>
            <w:tcBorders>
              <w:top w:val="none" w:sz="0" w:space="0" w:color="auto"/>
              <w:left w:val="none" w:sz="0" w:space="0" w:color="auto"/>
              <w:bottom w:val="none" w:sz="0" w:space="0" w:color="auto"/>
              <w:right w:val="none" w:sz="0" w:space="0" w:color="auto"/>
            </w:tcBorders>
            <w:shd w:val="clear" w:color="auto" w:fill="5B9BD5" w:themeFill="accent1"/>
            <w:noWrap/>
            <w:hideMark/>
          </w:tcPr>
          <w:p w:rsidR="0020499E" w:rsidRDefault="0020499E">
            <w:pPr>
              <w:jc w:val="center"/>
              <w:cnfStyle w:val="100000000000"/>
              <w:rPr>
                <w:color w:val="FFFFFF" w:themeColor="background1"/>
              </w:rPr>
            </w:pPr>
          </w:p>
          <w:p w:rsidR="0020499E" w:rsidRDefault="008E27E1">
            <w:pPr>
              <w:jc w:val="center"/>
              <w:cnfStyle w:val="100000000000"/>
              <w:rPr>
                <w:color w:val="FFFFFF" w:themeColor="background1"/>
              </w:rPr>
            </w:pPr>
            <w:r>
              <w:rPr>
                <w:color w:val="FFFFFF" w:themeColor="background1"/>
              </w:rPr>
              <w:t>Countries</w:t>
            </w:r>
          </w:p>
        </w:tc>
        <w:tc>
          <w:tcPr>
            <w:tcW w:w="1417" w:type="dxa"/>
            <w:tcBorders>
              <w:top w:val="none" w:sz="0" w:space="0" w:color="auto"/>
              <w:left w:val="none" w:sz="0" w:space="0" w:color="auto"/>
              <w:bottom w:val="none" w:sz="0" w:space="0" w:color="auto"/>
              <w:right w:val="none" w:sz="0" w:space="0" w:color="auto"/>
            </w:tcBorders>
            <w:shd w:val="clear" w:color="auto" w:fill="5B9BD5" w:themeFill="accent1"/>
            <w:noWrap/>
            <w:hideMark/>
          </w:tcPr>
          <w:p w:rsidR="0020499E" w:rsidRDefault="008E27E1">
            <w:pPr>
              <w:jc w:val="center"/>
              <w:cnfStyle w:val="100000000000"/>
              <w:rPr>
                <w:color w:val="FFFFFF" w:themeColor="background1"/>
              </w:rPr>
            </w:pPr>
            <w:r>
              <w:rPr>
                <w:color w:val="FFFFFF" w:themeColor="background1"/>
              </w:rPr>
              <w:t>No of countries in the cluster</w:t>
            </w:r>
          </w:p>
        </w:tc>
      </w:tr>
      <w:tr w:rsidR="0020499E" w:rsidTr="0020499E">
        <w:trPr>
          <w:cnfStyle w:val="000000100000"/>
          <w:trHeight w:val="288"/>
        </w:trPr>
        <w:tc>
          <w:tcPr>
            <w:cnfStyle w:val="001000000000"/>
            <w:tcW w:w="987" w:type="dxa"/>
            <w:tcBorders>
              <w:left w:val="none" w:sz="0" w:space="0" w:color="auto"/>
              <w:right w:val="none" w:sz="0" w:space="0" w:color="auto"/>
            </w:tcBorders>
          </w:tcPr>
          <w:p w:rsidR="0020499E" w:rsidRDefault="008E27E1">
            <w:pPr>
              <w:jc w:val="center"/>
              <w:rPr>
                <w:color w:val="auto"/>
              </w:rPr>
            </w:pPr>
            <w:r>
              <w:rPr>
                <w:color w:val="auto"/>
              </w:rPr>
              <w:t>1</w:t>
            </w:r>
          </w:p>
        </w:tc>
        <w:tc>
          <w:tcPr>
            <w:tcW w:w="1531" w:type="dxa"/>
            <w:tcBorders>
              <w:left w:val="none" w:sz="0" w:space="0" w:color="auto"/>
              <w:right w:val="none" w:sz="0" w:space="0" w:color="auto"/>
            </w:tcBorders>
            <w:noWrap/>
            <w:hideMark/>
          </w:tcPr>
          <w:p w:rsidR="0020499E" w:rsidRDefault="008E27E1">
            <w:pPr>
              <w:jc w:val="center"/>
              <w:cnfStyle w:val="000000100000"/>
              <w:rPr>
                <w:color w:val="auto"/>
              </w:rPr>
            </w:pPr>
            <w:r>
              <w:rPr>
                <w:color w:val="auto"/>
              </w:rPr>
              <w:t>&gt; 1000</w:t>
            </w:r>
          </w:p>
        </w:tc>
        <w:tc>
          <w:tcPr>
            <w:tcW w:w="2268" w:type="dxa"/>
            <w:tcBorders>
              <w:left w:val="none" w:sz="0" w:space="0" w:color="auto"/>
              <w:right w:val="none" w:sz="0" w:space="0" w:color="auto"/>
            </w:tcBorders>
            <w:noWrap/>
            <w:hideMark/>
          </w:tcPr>
          <w:p w:rsidR="0020499E" w:rsidRDefault="008E27E1">
            <w:pPr>
              <w:jc w:val="center"/>
              <w:cnfStyle w:val="000000100000"/>
              <w:rPr>
                <w:color w:val="auto"/>
              </w:rPr>
            </w:pPr>
            <w:r>
              <w:rPr>
                <w:color w:val="auto"/>
              </w:rPr>
              <w:t>20% +</w:t>
            </w:r>
          </w:p>
        </w:tc>
        <w:tc>
          <w:tcPr>
            <w:tcW w:w="4111" w:type="dxa"/>
            <w:tcBorders>
              <w:left w:val="none" w:sz="0" w:space="0" w:color="auto"/>
              <w:right w:val="none" w:sz="0" w:space="0" w:color="auto"/>
            </w:tcBorders>
            <w:noWrap/>
            <w:hideMark/>
          </w:tcPr>
          <w:p w:rsidR="0020499E" w:rsidRDefault="008E27E1">
            <w:pPr>
              <w:jc w:val="center"/>
              <w:cnfStyle w:val="000000100000"/>
              <w:rPr>
                <w:color w:val="auto"/>
              </w:rPr>
            </w:pPr>
            <w:r>
              <w:rPr>
                <w:color w:val="auto"/>
              </w:rPr>
              <w:t xml:space="preserve">USA, Germany, </w:t>
            </w:r>
            <w:r>
              <w:rPr>
                <w:color w:val="auto"/>
              </w:rPr>
              <w:t>Russia, Italy</w:t>
            </w:r>
          </w:p>
        </w:tc>
        <w:tc>
          <w:tcPr>
            <w:tcW w:w="1417" w:type="dxa"/>
            <w:tcBorders>
              <w:left w:val="none" w:sz="0" w:space="0" w:color="auto"/>
              <w:right w:val="none" w:sz="0" w:space="0" w:color="auto"/>
            </w:tcBorders>
            <w:noWrap/>
            <w:hideMark/>
          </w:tcPr>
          <w:p w:rsidR="0020499E" w:rsidRDefault="008E27E1">
            <w:pPr>
              <w:jc w:val="center"/>
              <w:cnfStyle w:val="000000100000"/>
              <w:rPr>
                <w:color w:val="auto"/>
              </w:rPr>
            </w:pPr>
            <w:r>
              <w:rPr>
                <w:color w:val="auto"/>
              </w:rPr>
              <w:t>4</w:t>
            </w:r>
          </w:p>
        </w:tc>
      </w:tr>
      <w:tr w:rsidR="0020499E" w:rsidTr="0020499E">
        <w:trPr>
          <w:trHeight w:val="288"/>
        </w:trPr>
        <w:tc>
          <w:tcPr>
            <w:cnfStyle w:val="001000000000"/>
            <w:tcW w:w="987" w:type="dxa"/>
          </w:tcPr>
          <w:p w:rsidR="0020499E" w:rsidRDefault="008E27E1">
            <w:pPr>
              <w:jc w:val="center"/>
              <w:rPr>
                <w:color w:val="auto"/>
              </w:rPr>
            </w:pPr>
            <w:r>
              <w:rPr>
                <w:color w:val="auto"/>
              </w:rPr>
              <w:t>2</w:t>
            </w:r>
          </w:p>
        </w:tc>
        <w:tc>
          <w:tcPr>
            <w:tcW w:w="1531" w:type="dxa"/>
            <w:noWrap/>
            <w:hideMark/>
          </w:tcPr>
          <w:p w:rsidR="0020499E" w:rsidRDefault="008E27E1">
            <w:pPr>
              <w:jc w:val="center"/>
              <w:cnfStyle w:val="000000000000"/>
              <w:rPr>
                <w:color w:val="auto"/>
              </w:rPr>
            </w:pPr>
            <w:r>
              <w:rPr>
                <w:color w:val="auto"/>
              </w:rPr>
              <w:t>&gt; 500</w:t>
            </w:r>
          </w:p>
        </w:tc>
        <w:tc>
          <w:tcPr>
            <w:tcW w:w="2268" w:type="dxa"/>
            <w:noWrap/>
            <w:hideMark/>
          </w:tcPr>
          <w:p w:rsidR="0020499E" w:rsidRDefault="008E27E1">
            <w:pPr>
              <w:jc w:val="center"/>
              <w:cnfStyle w:val="000000000000"/>
              <w:rPr>
                <w:color w:val="auto"/>
              </w:rPr>
            </w:pPr>
            <w:r>
              <w:rPr>
                <w:color w:val="auto"/>
              </w:rPr>
              <w:t>10% +</w:t>
            </w:r>
          </w:p>
        </w:tc>
        <w:tc>
          <w:tcPr>
            <w:tcW w:w="4111" w:type="dxa"/>
            <w:noWrap/>
            <w:hideMark/>
          </w:tcPr>
          <w:p w:rsidR="0020499E" w:rsidRDefault="008E27E1">
            <w:pPr>
              <w:jc w:val="center"/>
              <w:cnfStyle w:val="000000000000"/>
              <w:rPr>
                <w:color w:val="auto"/>
              </w:rPr>
            </w:pPr>
            <w:r>
              <w:rPr>
                <w:color w:val="auto"/>
              </w:rPr>
              <w:t>UK, France, Spain, Poland, Switzerland, Austria, Greece, Turkey, Portugal, PR China, Armenia, Brazil, Czech Republic, Hungary, Serbia, Taiwan, Belarus, Colombia, Romania, Australia</w:t>
            </w:r>
          </w:p>
        </w:tc>
        <w:tc>
          <w:tcPr>
            <w:tcW w:w="1417" w:type="dxa"/>
            <w:noWrap/>
            <w:hideMark/>
          </w:tcPr>
          <w:p w:rsidR="0020499E" w:rsidRDefault="008E27E1">
            <w:pPr>
              <w:jc w:val="center"/>
              <w:cnfStyle w:val="000000000000"/>
              <w:rPr>
                <w:color w:val="auto"/>
              </w:rPr>
            </w:pPr>
            <w:r>
              <w:rPr>
                <w:color w:val="auto"/>
              </w:rPr>
              <w:t>20</w:t>
            </w:r>
          </w:p>
        </w:tc>
      </w:tr>
      <w:tr w:rsidR="0020499E" w:rsidTr="0020499E">
        <w:trPr>
          <w:cnfStyle w:val="000000100000"/>
          <w:trHeight w:val="288"/>
        </w:trPr>
        <w:tc>
          <w:tcPr>
            <w:cnfStyle w:val="001000000000"/>
            <w:tcW w:w="987" w:type="dxa"/>
            <w:tcBorders>
              <w:left w:val="none" w:sz="0" w:space="0" w:color="auto"/>
              <w:right w:val="none" w:sz="0" w:space="0" w:color="auto"/>
            </w:tcBorders>
          </w:tcPr>
          <w:p w:rsidR="0020499E" w:rsidRDefault="008E27E1">
            <w:pPr>
              <w:jc w:val="center"/>
              <w:rPr>
                <w:color w:val="auto"/>
              </w:rPr>
            </w:pPr>
            <w:r>
              <w:rPr>
                <w:color w:val="auto"/>
              </w:rPr>
              <w:t>3</w:t>
            </w:r>
          </w:p>
        </w:tc>
        <w:tc>
          <w:tcPr>
            <w:tcW w:w="1531" w:type="dxa"/>
            <w:tcBorders>
              <w:left w:val="none" w:sz="0" w:space="0" w:color="auto"/>
              <w:right w:val="none" w:sz="0" w:space="0" w:color="auto"/>
            </w:tcBorders>
            <w:noWrap/>
            <w:hideMark/>
          </w:tcPr>
          <w:p w:rsidR="0020499E" w:rsidRDefault="008E27E1">
            <w:pPr>
              <w:jc w:val="center"/>
              <w:cnfStyle w:val="000000100000"/>
              <w:rPr>
                <w:color w:val="auto"/>
              </w:rPr>
            </w:pPr>
            <w:r>
              <w:rPr>
                <w:color w:val="auto"/>
              </w:rPr>
              <w:t>&lt;500</w:t>
            </w:r>
          </w:p>
        </w:tc>
        <w:tc>
          <w:tcPr>
            <w:tcW w:w="2268" w:type="dxa"/>
            <w:tcBorders>
              <w:left w:val="none" w:sz="0" w:space="0" w:color="auto"/>
              <w:right w:val="none" w:sz="0" w:space="0" w:color="auto"/>
            </w:tcBorders>
            <w:noWrap/>
            <w:hideMark/>
          </w:tcPr>
          <w:p w:rsidR="0020499E" w:rsidRDefault="0020499E">
            <w:pPr>
              <w:jc w:val="center"/>
              <w:cnfStyle w:val="000000100000"/>
              <w:rPr>
                <w:color w:val="auto"/>
              </w:rPr>
            </w:pPr>
          </w:p>
        </w:tc>
        <w:tc>
          <w:tcPr>
            <w:tcW w:w="4111" w:type="dxa"/>
            <w:tcBorders>
              <w:left w:val="none" w:sz="0" w:space="0" w:color="auto"/>
              <w:right w:val="none" w:sz="0" w:space="0" w:color="auto"/>
            </w:tcBorders>
            <w:noWrap/>
            <w:hideMark/>
          </w:tcPr>
          <w:p w:rsidR="0020499E" w:rsidRDefault="0020499E">
            <w:pPr>
              <w:jc w:val="center"/>
              <w:cnfStyle w:val="000000100000"/>
              <w:rPr>
                <w:color w:val="auto"/>
              </w:rPr>
            </w:pPr>
          </w:p>
        </w:tc>
        <w:tc>
          <w:tcPr>
            <w:tcW w:w="1417" w:type="dxa"/>
            <w:tcBorders>
              <w:left w:val="none" w:sz="0" w:space="0" w:color="auto"/>
              <w:right w:val="none" w:sz="0" w:space="0" w:color="auto"/>
            </w:tcBorders>
            <w:noWrap/>
            <w:hideMark/>
          </w:tcPr>
          <w:p w:rsidR="0020499E" w:rsidRDefault="008E27E1">
            <w:pPr>
              <w:jc w:val="center"/>
              <w:cnfStyle w:val="000000100000"/>
              <w:rPr>
                <w:color w:val="auto"/>
              </w:rPr>
            </w:pPr>
            <w:r>
              <w:rPr>
                <w:color w:val="auto"/>
              </w:rPr>
              <w:t>63</w:t>
            </w:r>
          </w:p>
        </w:tc>
      </w:tr>
    </w:tbl>
    <w:p w:rsidR="0020499E" w:rsidRDefault="0020499E"/>
    <w:p w:rsidR="0020499E" w:rsidRDefault="008E27E1">
      <w:r>
        <w:t xml:space="preserve">The figure below </w:t>
      </w:r>
      <w:r>
        <w:t>illustrates the growth in total number of joint publications with four leading partner countries. As it can be seen, the number of joint publications increases significantly since 2010 with all partner countries.</w:t>
      </w:r>
    </w:p>
    <w:p w:rsidR="0020499E" w:rsidRDefault="0020499E"/>
    <w:p w:rsidR="0020499E" w:rsidRDefault="008E27E1">
      <w:pPr>
        <w:autoSpaceDE/>
        <w:autoSpaceDN/>
        <w:adjustRightInd/>
        <w:jc w:val="left"/>
        <w:rPr>
          <w:b/>
        </w:rPr>
      </w:pPr>
      <w:r>
        <w:rPr>
          <w:b/>
        </w:rPr>
        <w:br w:type="page"/>
      </w:r>
    </w:p>
    <w:p w:rsidR="0020499E" w:rsidRDefault="008E27E1">
      <w:pPr>
        <w:jc w:val="center"/>
        <w:rPr>
          <w:b/>
        </w:rPr>
      </w:pPr>
      <w:r>
        <w:rPr>
          <w:b/>
        </w:rPr>
        <w:lastRenderedPageBreak/>
        <w:t xml:space="preserve">Number of joint publications by country </w:t>
      </w:r>
      <w:r>
        <w:rPr>
          <w:b/>
        </w:rPr>
        <w:t>– first cluster (Web of Science database)</w:t>
      </w:r>
    </w:p>
    <w:p w:rsidR="0020499E" w:rsidRDefault="008E27E1">
      <w:pPr>
        <w:ind w:left="-284"/>
      </w:pPr>
      <w:r>
        <w:rPr>
          <w:noProof/>
        </w:rPr>
        <w:drawing>
          <wp:inline distT="0" distB="0" distL="0" distR="0">
            <wp:extent cx="6702725" cy="3036498"/>
            <wp:effectExtent l="0" t="0" r="3175" b="0"/>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t xml:space="preserve"> The Scopus database also shows high levels of international cooperation for Georgian researchers, especially in the field of physics. A decrease in international cooperation (compared to previous years) is eviden</w:t>
      </w:r>
      <w:r>
        <w:t xml:space="preserve">t only in the fields of biochemistry, genetics and molecular biology.  </w:t>
      </w:r>
    </w:p>
    <w:p w:rsidR="0020499E" w:rsidRDefault="0020499E"/>
    <w:p w:rsidR="0020499E" w:rsidRDefault="008E27E1">
      <w:r>
        <w:t>During the period 2008-2013 Georgian researchers published in 173 sources (peer reviewed journals). However, approximately 30% of these publications were concentrated in four journals</w:t>
      </w:r>
      <w:r>
        <w:t xml:space="preserve"> and 50% in 9 journals.</w:t>
      </w:r>
    </w:p>
    <w:p w:rsidR="0020499E" w:rsidRDefault="0020499E"/>
    <w:p w:rsidR="0020499E" w:rsidRDefault="008E27E1">
      <w:r>
        <w:t xml:space="preserve">The figure below shows the publication growth in four major sources in 2008-2012 and indicates a significant increase in the number of publications per journal since 2010. </w:t>
      </w:r>
    </w:p>
    <w:p w:rsidR="0020499E" w:rsidRDefault="0020499E"/>
    <w:p w:rsidR="0020499E" w:rsidRDefault="008E27E1">
      <w:pPr>
        <w:rPr>
          <w:b/>
        </w:rPr>
      </w:pPr>
      <w:r>
        <w:rPr>
          <w:b/>
        </w:rPr>
        <w:t>Publications per source by years (four journals with larg</w:t>
      </w:r>
      <w:r>
        <w:rPr>
          <w:b/>
        </w:rPr>
        <w:t>est output) -2008-2012</w:t>
      </w:r>
    </w:p>
    <w:p w:rsidR="0020499E" w:rsidRDefault="008E27E1">
      <w:r>
        <w:rPr>
          <w:noProof/>
        </w:rPr>
        <w:drawing>
          <wp:inline distT="0" distB="0" distL="0" distR="0">
            <wp:extent cx="6340415" cy="2993366"/>
            <wp:effectExtent l="0" t="0" r="22860" b="17145"/>
            <wp:docPr id="47" name="Chart 47"/>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20499E" w:rsidRDefault="0020499E"/>
    <w:p w:rsidR="0020499E" w:rsidRDefault="008E27E1">
      <w:pPr>
        <w:jc w:val="left"/>
      </w:pPr>
      <w:r>
        <w:t>The largest share of ouput is produced with the financial support of the ShotaRustaveli National Science Foundation (SRNSF) and European Organization for Nuclear Research/CERN.</w:t>
      </w:r>
    </w:p>
    <w:p w:rsidR="0020499E" w:rsidRDefault="0020499E">
      <w:pPr>
        <w:jc w:val="left"/>
      </w:pPr>
    </w:p>
    <w:p w:rsidR="0020499E" w:rsidRDefault="008E27E1">
      <w:pPr>
        <w:jc w:val="center"/>
        <w:rPr>
          <w:b/>
        </w:rPr>
      </w:pPr>
      <w:r>
        <w:rPr>
          <w:b/>
        </w:rPr>
        <w:t>International cooperation (Share of papers with more</w:t>
      </w:r>
      <w:r>
        <w:rPr>
          <w:b/>
        </w:rPr>
        <w:t xml:space="preserve"> than one country) by field</w:t>
      </w:r>
    </w:p>
    <w:p w:rsidR="0020499E" w:rsidRDefault="0020499E"/>
    <w:p w:rsidR="0020499E" w:rsidRDefault="008E27E1">
      <w:pPr>
        <w:autoSpaceDE/>
        <w:autoSpaceDN/>
        <w:adjustRightInd/>
        <w:ind w:left="-709"/>
        <w:jc w:val="left"/>
      </w:pPr>
      <w:r>
        <w:rPr>
          <w:noProof/>
        </w:rPr>
        <w:drawing>
          <wp:inline distT="0" distB="0" distL="0" distR="0">
            <wp:extent cx="7013276" cy="2696681"/>
            <wp:effectExtent l="0" t="0" r="0" b="8890"/>
            <wp:docPr id="28" name="Picture 28" descr="Machine generated alternative text: Eastern Europe Armenia&#10;Azerbaijan Georgia Belarus Ukraine Russian Federati Estonia&#10;Lithuania Latvia&#10;Physics and Astronomy&#10;2004 52 64 59 70 59 57&#10;2005 51 70 59 1 59 53&#10;2006 49 70 66 • 68 62 56&#10;2007 48 60 63 2 70 57&#10;2008 45 64 64 71 61 48&#10;2009 46 69 53 76 63 51&#10;2010 44 72 62 2 65 52&#10;2011 44 75 67 ‘ 76 53&#10;2012 44 /9 1 2 54&#10;Mathematics&#10;2004 40 55 45 43 32 47&#10;2005 40 63 22 44 27 43&#10;2006 38 62 38 48 35 42&#10;2007 38 52 46 54 45 48&#10;2008 37 67 39 44 49 44&#10;2009 37 48 45 40 47 38&#10;2010 35 64 42 67 51 44&#10;2011 35 58 49 46 49 42&#10;2012 35 66 58 53 58 39&#10;50 54 53 76&#10;48 54 53 77&#10;46 50 40 78&#10;46 56 55 74&#10;43 51 47 74&#10;43 60 43 58&#10;41 66 47 53&#10;39 66 51 58&#10;41 ¡9 59 52&#10;38 33 28 33&#10;37 30 26 28&#10;35 39 19 23&#10;34 41 181 8&#10;33 38 19 35&#10;33 31 28• 19&#10;30 49 36• 18&#10;31 41 30 22&#10;32 48 31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chine generated alternative text: Eastern Europe Armenia&#10;Azerbaijan Georgia Belarus Ukraine Russian Federati Estonia&#10;Lithuania Latvia&#10;Physics and Astronomy&#10;2004 52 64 59 70 59 57&#10;2005 51 70 59 1 59 53&#10;2006 49 70 66 • 68 62 56&#10;2007 48 60 63 2 70 57&#10;2008 45 64 64 71 61 48&#10;2009 46 69 53 76 63 51&#10;2010 44 72 62 2 65 52&#10;2011 44 75 67 ‘ 76 53&#10;2012 44 /9 1 2 54&#10;Mathematics&#10;2004 40 55 45 43 32 47&#10;2005 40 63 22 44 27 43&#10;2006 38 62 38 48 35 42&#10;2007 38 52 46 54 45 48&#10;2008 37 67 39 44 49 44&#10;2009 37 48 45 40 47 38&#10;2010 35 64 42 67 51 44&#10;2011 35 58 49 46 49 42&#10;2012 35 66 58 53 58 39&#10;50 54 53 76&#10;48 54 53 77&#10;46 50 40 78&#10;46 56 55 74&#10;43 51 47 74&#10;43 60 43 58&#10;41 66 47 53&#10;39 66 51 58&#10;41 ¡9 59 52&#10;38 33 28 33&#10;37 30 26 28&#10;35 39 19 23&#10;34 41 181 8&#10;33 38 19 35&#10;33 31 28• 19&#10;30 49 36• 18&#10;31 41 30 22&#10;32 48 31 26"/>
                    <pic:cNvPicPr>
                      <a:picLocks noChangeAspect="1" noChangeArrowheads="1"/>
                    </pic:cNvPicPr>
                  </pic:nvPicPr>
                  <pic:blipFill>
                    <a:blip r:embed="rId2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13276" cy="2696681"/>
                    </a:xfrm>
                    <a:prstGeom prst="rect">
                      <a:avLst/>
                    </a:prstGeom>
                    <a:noFill/>
                    <a:ln>
                      <a:noFill/>
                    </a:ln>
                  </pic:spPr>
                </pic:pic>
              </a:graphicData>
            </a:graphic>
          </wp:inline>
        </w:drawing>
      </w:r>
    </w:p>
    <w:p w:rsidR="0020499E" w:rsidRDefault="008E27E1">
      <w:pPr>
        <w:ind w:left="-709"/>
      </w:pPr>
      <w:r>
        <w:rPr>
          <w:noProof/>
        </w:rPr>
        <w:drawing>
          <wp:inline distT="0" distB="0" distL="0" distR="0">
            <wp:extent cx="7010400" cy="2533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10400" cy="2533650"/>
                    </a:xfrm>
                    <a:prstGeom prst="rect">
                      <a:avLst/>
                    </a:prstGeom>
                    <a:noFill/>
                    <a:ln>
                      <a:noFill/>
                    </a:ln>
                  </pic:spPr>
                </pic:pic>
              </a:graphicData>
            </a:graphic>
          </wp:inline>
        </w:drawing>
      </w:r>
    </w:p>
    <w:p w:rsidR="0020499E" w:rsidRDefault="008E27E1">
      <w:pPr>
        <w:jc w:val="left"/>
        <w:rPr>
          <w:sz w:val="16"/>
          <w:szCs w:val="16"/>
        </w:rPr>
      </w:pPr>
      <w:r>
        <w:rPr>
          <w:sz w:val="16"/>
          <w:szCs w:val="16"/>
        </w:rPr>
        <w:t>Source: Scopus database</w:t>
      </w:r>
    </w:p>
    <w:p w:rsidR="0020499E" w:rsidRDefault="0020499E">
      <w:pPr>
        <w:jc w:val="left"/>
        <w:rPr>
          <w:sz w:val="16"/>
          <w:szCs w:val="16"/>
        </w:rPr>
      </w:pPr>
    </w:p>
    <w:p w:rsidR="0020499E" w:rsidRDefault="008E27E1">
      <w:pPr>
        <w:pStyle w:val="Heading2"/>
      </w:pPr>
      <w:bookmarkStart w:id="16" w:name="_Toc389396903"/>
      <w:r>
        <w:t>1.5 State Grant: the role of the ShotaRustaveli National Science Foundation (SRNSF)</w:t>
      </w:r>
      <w:bookmarkEnd w:id="16"/>
    </w:p>
    <w:p w:rsidR="0020499E" w:rsidRDefault="0020499E"/>
    <w:p w:rsidR="0020499E" w:rsidRDefault="008E27E1">
      <w:r>
        <w:t>State grants for research represents the major mechanism of funding research in Georgia. Grants are distributed t</w:t>
      </w:r>
      <w:r>
        <w:t>hrough open competition among individuals or groups of scientists. Maximal duration of projects is two years. The process is administered by the ShotaRustaveli National Science Foundation (SRNSF) - an independent entity of public law established in 2008 by</w:t>
      </w:r>
      <w:r>
        <w:t xml:space="preserve"> the Ministry of Education and Science.</w:t>
      </w:r>
    </w:p>
    <w:p w:rsidR="0020499E" w:rsidRDefault="0020499E"/>
    <w:p w:rsidR="0020499E" w:rsidRDefault="008E27E1">
      <w:r>
        <w:t>Analysis of output of Georgian researchers in the Web of Science database shows a strong correlation between the total funding provided by SRNSF for research and the total production in the Web of Science database b</w:t>
      </w:r>
      <w:r>
        <w:t xml:space="preserve">y year. </w:t>
      </w:r>
    </w:p>
    <w:p w:rsidR="0020499E" w:rsidRDefault="0020499E"/>
    <w:p w:rsidR="0020499E" w:rsidRDefault="008E27E1">
      <w:pPr>
        <w:autoSpaceDE/>
        <w:autoSpaceDN/>
        <w:adjustRightInd/>
        <w:jc w:val="left"/>
        <w:rPr>
          <w:b/>
        </w:rPr>
      </w:pPr>
      <w:r>
        <w:rPr>
          <w:b/>
        </w:rPr>
        <w:br w:type="page"/>
      </w:r>
    </w:p>
    <w:p w:rsidR="0020499E" w:rsidRDefault="008E27E1">
      <w:pPr>
        <w:jc w:val="center"/>
      </w:pPr>
      <w:r>
        <w:rPr>
          <w:b/>
        </w:rPr>
        <w:lastRenderedPageBreak/>
        <w:t>SRNSF funded projects in Web of Science and SRNSF spending on research grants by year</w:t>
      </w:r>
    </w:p>
    <w:p w:rsidR="0020499E" w:rsidRDefault="0020499E"/>
    <w:p w:rsidR="0020499E" w:rsidRDefault="008E27E1">
      <w:r>
        <w:rPr>
          <w:noProof/>
        </w:rPr>
        <w:drawing>
          <wp:inline distT="0" distB="0" distL="0" distR="0">
            <wp:extent cx="6366294" cy="2053087"/>
            <wp:effectExtent l="0" t="0" r="0" b="4445"/>
            <wp:docPr id="44" name="Chart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20499E" w:rsidRDefault="008E27E1">
      <w:pPr>
        <w:rPr>
          <w:sz w:val="16"/>
          <w:szCs w:val="16"/>
        </w:rPr>
      </w:pPr>
      <w:r>
        <w:rPr>
          <w:sz w:val="16"/>
          <w:szCs w:val="16"/>
        </w:rPr>
        <w:t>Source: Web of Science database</w:t>
      </w:r>
    </w:p>
    <w:p w:rsidR="0020499E" w:rsidRDefault="0020499E"/>
    <w:p w:rsidR="0020499E" w:rsidRDefault="008E27E1">
      <w:r>
        <w:t xml:space="preserve">SRNSF visibility as a funding agency is high in the Web of Science database: the total number of articles that mention the foundation as a funding agency is almost equal to the total number of individual grants given by SRNSF during the specified period. </w:t>
      </w:r>
    </w:p>
    <w:p w:rsidR="0020499E" w:rsidRDefault="0020499E">
      <w:pPr>
        <w:rPr>
          <w:b/>
        </w:rPr>
      </w:pPr>
    </w:p>
    <w:p w:rsidR="0020499E" w:rsidRDefault="008E27E1">
      <w:pPr>
        <w:jc w:val="center"/>
        <w:rPr>
          <w:b/>
        </w:rPr>
      </w:pPr>
      <w:r>
        <w:rPr>
          <w:b/>
        </w:rPr>
        <w:t>SRNSF funded projects in Web of Science and number of SRNSF individual grants by year</w:t>
      </w:r>
    </w:p>
    <w:p w:rsidR="0020499E" w:rsidRDefault="008E27E1">
      <w:r>
        <w:rPr>
          <w:noProof/>
        </w:rPr>
        <w:drawing>
          <wp:inline distT="0" distB="0" distL="0" distR="0">
            <wp:extent cx="6324600" cy="1357745"/>
            <wp:effectExtent l="0" t="0" r="0" b="0"/>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20499E" w:rsidRDefault="008E27E1">
      <w:r>
        <w:t>At first sight, the efficiency of SRNSF spending on individual grants seems to be high in terms of facilitating overall production. However, a more detailed analysis o</w:t>
      </w:r>
      <w:r>
        <w:t>f the data reveals that most of the output where SRNSF is mentioned as a funding agency is produced within the framework of joint projects with the CERN/European Council for Nuclear Research (SRNSF provides participation fee for Georgian researchers). If j</w:t>
      </w:r>
      <w:r>
        <w:t>oint publications within these initiatives are excluded from the total output, the visibility of SRNSF funded projects drops significantly.</w:t>
      </w:r>
    </w:p>
    <w:p w:rsidR="0020499E" w:rsidRDefault="0020499E"/>
    <w:p w:rsidR="0020499E" w:rsidRDefault="008E27E1">
      <w:pPr>
        <w:jc w:val="center"/>
        <w:rPr>
          <w:b/>
        </w:rPr>
      </w:pPr>
      <w:r>
        <w:rPr>
          <w:b/>
        </w:rPr>
        <w:t>SRNSF funded projects in Web of Science and number of SRNSF individual grants by year (excluding CERN publications)</w:t>
      </w:r>
    </w:p>
    <w:p w:rsidR="0020499E" w:rsidRDefault="0020499E"/>
    <w:p w:rsidR="0020499E" w:rsidRDefault="008E27E1">
      <w:r>
        <w:rPr>
          <w:noProof/>
        </w:rPr>
        <w:drawing>
          <wp:inline distT="0" distB="0" distL="0" distR="0">
            <wp:extent cx="5943600" cy="1555750"/>
            <wp:effectExtent l="0" t="0" r="0" b="6350"/>
            <wp:docPr id="261" name="Chart 26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20499E" w:rsidRDefault="008E27E1">
      <w:pPr>
        <w:autoSpaceDE/>
        <w:autoSpaceDN/>
        <w:adjustRightInd/>
        <w:jc w:val="left"/>
        <w:rPr>
          <w:b/>
          <w:sz w:val="28"/>
          <w:szCs w:val="28"/>
        </w:rPr>
      </w:pPr>
      <w:r>
        <w:br w:type="page"/>
      </w:r>
    </w:p>
    <w:p w:rsidR="0020499E" w:rsidRDefault="008E27E1">
      <w:pPr>
        <w:pStyle w:val="Heading1"/>
        <w:numPr>
          <w:ilvl w:val="0"/>
          <w:numId w:val="0"/>
        </w:numPr>
      </w:pPr>
      <w:bookmarkStart w:id="17" w:name="_Toc389396904"/>
      <w:r>
        <w:lastRenderedPageBreak/>
        <w:t>2. INTELLECTUAL PROPERTY SNAPSHOT</w:t>
      </w:r>
      <w:bookmarkEnd w:id="17"/>
    </w:p>
    <w:p w:rsidR="0020499E" w:rsidRDefault="0020499E"/>
    <w:p w:rsidR="0020499E" w:rsidRDefault="008E27E1">
      <w:r>
        <w:t xml:space="preserve">Since the industrial share of R&amp;D has become marginal in Georgia, patents and patent applications are direct indicators of the economic potential of academic research. </w:t>
      </w:r>
    </w:p>
    <w:p w:rsidR="0020499E" w:rsidRDefault="0020499E"/>
    <w:p w:rsidR="0020499E" w:rsidRDefault="008E27E1">
      <w:r>
        <w:t>In this chapter, the main source of informati</w:t>
      </w:r>
      <w:r>
        <w:t xml:space="preserve">on used is the statistic database of the World Intellectual Property Organization (WIPO), which generally covers the period 1998-2012. Data on Georgia obtained from the Georgian National Intellectual Property Center (Sakpatenti) include the year 2013, but </w:t>
      </w:r>
      <w:r>
        <w:t xml:space="preserve">are not totally compatible with WIPO data, because WIPO includes additional </w:t>
      </w:r>
      <w:r>
        <w:rPr>
          <w:rFonts w:eastAsia="Times New Roman" w:cs="Courier New"/>
          <w:lang w:eastAsia="fr-FR"/>
        </w:rPr>
        <w:t>elements in its data sheets</w:t>
      </w:r>
      <w:r>
        <w:t xml:space="preserve">, </w:t>
      </w:r>
      <w:r>
        <w:rPr>
          <w:rFonts w:eastAsia="Times New Roman" w:cs="Courier New"/>
          <w:lang w:eastAsia="fr-FR"/>
        </w:rPr>
        <w:t xml:space="preserve">such as incoming applications to WIPO fromGeorgia and applications </w:t>
      </w:r>
      <w:r>
        <w:t>e</w:t>
      </w:r>
      <w:r>
        <w:rPr>
          <w:rFonts w:eastAsia="Times New Roman" w:cs="Courier New"/>
          <w:lang w:eastAsia="fr-FR"/>
        </w:rPr>
        <w:t>xtended to Georgia from WIPO.</w:t>
      </w:r>
      <w:r>
        <w:t xml:space="preserve"> Thus, to allow an international comparison we have us</w:t>
      </w:r>
      <w:r>
        <w:t>ed WIPO data for all countries including Georgia (the 2013 update from Sakpatenti is available in Annex 5).</w:t>
      </w:r>
    </w:p>
    <w:p w:rsidR="0020499E" w:rsidRDefault="0020499E"/>
    <w:p w:rsidR="0020499E" w:rsidRDefault="008E27E1">
      <w:r>
        <w:t xml:space="preserve">This chapter is divided into two sections. </w:t>
      </w:r>
    </w:p>
    <w:p w:rsidR="0020499E" w:rsidRDefault="0020499E"/>
    <w:p w:rsidR="0020499E" w:rsidRDefault="008E27E1">
      <w:r>
        <w:t>The first section compares Georgia’s dominant patent fields with the results of our bibliometric analy</w:t>
      </w:r>
      <w:r>
        <w:t xml:space="preserve">sis, and looks at the trends in patent applications in recent years. </w:t>
      </w:r>
    </w:p>
    <w:p w:rsidR="0020499E" w:rsidRDefault="0020499E"/>
    <w:p w:rsidR="0020499E" w:rsidRDefault="008E27E1">
      <w:r>
        <w:t>The second examines the evolution of patents filing in Georgia and compares it to trends in other IP rights as well as in other countries.</w:t>
      </w:r>
    </w:p>
    <w:p w:rsidR="0020499E" w:rsidRDefault="0020499E"/>
    <w:p w:rsidR="0020499E" w:rsidRDefault="008E27E1">
      <w:pPr>
        <w:pStyle w:val="Heading2"/>
      </w:pPr>
      <w:bookmarkStart w:id="18" w:name="_Toc389396905"/>
      <w:r>
        <w:t>2.1 Domestic data</w:t>
      </w:r>
      <w:bookmarkEnd w:id="18"/>
    </w:p>
    <w:p w:rsidR="0020499E" w:rsidRDefault="0020499E"/>
    <w:p w:rsidR="0020499E" w:rsidRDefault="008E27E1">
      <w:pPr>
        <w:pStyle w:val="Heading3"/>
      </w:pPr>
      <w:bookmarkStart w:id="19" w:name="_Toc389396906"/>
      <w:r>
        <w:t xml:space="preserve">2.1.1 Dominant fields of </w:t>
      </w:r>
      <w:r>
        <w:t>technology</w:t>
      </w:r>
      <w:bookmarkEnd w:id="19"/>
    </w:p>
    <w:p w:rsidR="0020499E" w:rsidRDefault="0020499E"/>
    <w:p w:rsidR="0020499E" w:rsidRDefault="008E27E1">
      <w:r>
        <w:t>The graph below shows a breakdown of patent applications by fields of technology.</w:t>
      </w:r>
    </w:p>
    <w:p w:rsidR="0020499E" w:rsidRDefault="0020499E"/>
    <w:p w:rsidR="0020499E" w:rsidRDefault="008E27E1">
      <w:pPr>
        <w:jc w:val="center"/>
      </w:pPr>
      <w:r>
        <w:rPr>
          <w:noProof/>
        </w:rPr>
        <w:drawing>
          <wp:inline distT="0" distB="0" distL="0" distR="0">
            <wp:extent cx="4270375" cy="3200400"/>
            <wp:effectExtent l="0" t="0" r="0" b="0"/>
            <wp:docPr id="59" name="Image 59" descr="http://www.wipo.int/ipstats/en/statistics/country_profile/countries/graphs/ge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wipo.int/ipstats/en/statistics/country_profile/countries/graphs/ge12.gif"/>
                    <pic:cNvPicPr>
                      <a:picLocks noChangeAspect="1" noChangeArrowheads="1"/>
                    </pic:cNvPicPr>
                  </pic:nvPicPr>
                  <pic:blipFill>
                    <a:blip r:embed="rId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70375" cy="3200400"/>
                    </a:xfrm>
                    <a:prstGeom prst="rect">
                      <a:avLst/>
                    </a:prstGeom>
                    <a:noFill/>
                    <a:ln>
                      <a:noFill/>
                    </a:ln>
                  </pic:spPr>
                </pic:pic>
              </a:graphicData>
            </a:graphic>
          </wp:inline>
        </w:drawing>
      </w:r>
    </w:p>
    <w:p w:rsidR="0020499E" w:rsidRDefault="0020499E"/>
    <w:p w:rsidR="0020499E" w:rsidRDefault="008E27E1">
      <w:r>
        <w:t>To obtain a more precise indicator of the actual performance of Georgian research, we have isolated from this sample the patent applications filed by Georgian</w:t>
      </w:r>
      <w:r>
        <w:t xml:space="preserve"> residents that have resulted in a patent grant. </w:t>
      </w:r>
    </w:p>
    <w:p w:rsidR="0020499E" w:rsidRDefault="0020499E"/>
    <w:p w:rsidR="0020499E" w:rsidRDefault="008E27E1">
      <w:r>
        <w:lastRenderedPageBreak/>
        <w:t>The top fields are listed in the table below:</w:t>
      </w:r>
    </w:p>
    <w:p w:rsidR="0020499E" w:rsidRDefault="0020499E">
      <w:pPr>
        <w:jc w:val="center"/>
      </w:pPr>
    </w:p>
    <w:tbl>
      <w:tblPr>
        <w:tblW w:w="9946" w:type="dxa"/>
        <w:tblCellSpacing w:w="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2575"/>
        <w:gridCol w:w="567"/>
        <w:gridCol w:w="567"/>
        <w:gridCol w:w="567"/>
        <w:gridCol w:w="567"/>
        <w:gridCol w:w="567"/>
        <w:gridCol w:w="567"/>
        <w:gridCol w:w="567"/>
        <w:gridCol w:w="567"/>
        <w:gridCol w:w="567"/>
        <w:gridCol w:w="567"/>
        <w:gridCol w:w="567"/>
        <w:gridCol w:w="567"/>
        <w:gridCol w:w="567"/>
      </w:tblGrid>
      <w:tr w:rsidR="0020499E">
        <w:trPr>
          <w:trHeight w:val="283"/>
          <w:tblCellSpacing w:w="0" w:type="dxa"/>
        </w:trPr>
        <w:tc>
          <w:tcPr>
            <w:tcW w:w="9946" w:type="dxa"/>
            <w:gridSpan w:val="14"/>
            <w:tcBorders>
              <w:top w:val="nil"/>
              <w:left w:val="nil"/>
              <w:bottom w:val="single" w:sz="4" w:space="0" w:color="auto"/>
              <w:right w:val="nil"/>
            </w:tcBorders>
          </w:tcPr>
          <w:p w:rsidR="0020499E" w:rsidRDefault="008E27E1">
            <w:pPr>
              <w:jc w:val="center"/>
              <w:rPr>
                <w:rFonts w:eastAsia="Times New Roman" w:cs="Times New Roman"/>
                <w:lang w:eastAsia="fr-FR"/>
              </w:rPr>
            </w:pPr>
            <w:r>
              <w:rPr>
                <w:b/>
              </w:rPr>
              <w:t>Patent grants resulting from resident applications: top five fields</w:t>
            </w:r>
          </w:p>
        </w:tc>
      </w:tr>
      <w:tr w:rsidR="0020499E">
        <w:trPr>
          <w:trHeight w:val="283"/>
          <w:tblCellSpacing w:w="0" w:type="dxa"/>
        </w:trPr>
        <w:tc>
          <w:tcPr>
            <w:tcW w:w="2575" w:type="dxa"/>
          </w:tcPr>
          <w:p w:rsidR="0020499E" w:rsidRDefault="0020499E">
            <w:pPr>
              <w:jc w:val="center"/>
              <w:rPr>
                <w:rFonts w:eastAsia="Times New Roman" w:cs="Times New Roman"/>
                <w:sz w:val="18"/>
                <w:lang w:eastAsia="fr-FR"/>
              </w:rPr>
            </w:pPr>
          </w:p>
        </w:tc>
        <w:tc>
          <w:tcPr>
            <w:tcW w:w="567" w:type="dxa"/>
          </w:tcPr>
          <w:p w:rsidR="0020499E" w:rsidRDefault="008E27E1">
            <w:pPr>
              <w:jc w:val="center"/>
              <w:rPr>
                <w:rFonts w:eastAsia="Times New Roman" w:cs="Times New Roman"/>
                <w:sz w:val="18"/>
                <w:lang w:eastAsia="fr-FR"/>
              </w:rPr>
            </w:pPr>
            <w:r>
              <w:rPr>
                <w:rFonts w:eastAsia="Times New Roman" w:cs="Times New Roman"/>
                <w:sz w:val="18"/>
                <w:lang w:eastAsia="fr-FR"/>
              </w:rPr>
              <w:t>2000</w:t>
            </w:r>
          </w:p>
        </w:tc>
        <w:tc>
          <w:tcPr>
            <w:tcW w:w="567" w:type="dxa"/>
          </w:tcPr>
          <w:p w:rsidR="0020499E" w:rsidRDefault="008E27E1">
            <w:pPr>
              <w:jc w:val="center"/>
              <w:rPr>
                <w:rFonts w:eastAsia="Times New Roman" w:cs="Times New Roman"/>
                <w:sz w:val="18"/>
                <w:lang w:eastAsia="fr-FR"/>
              </w:rPr>
            </w:pPr>
            <w:r>
              <w:rPr>
                <w:rFonts w:eastAsia="Times New Roman" w:cs="Times New Roman"/>
                <w:sz w:val="18"/>
                <w:lang w:eastAsia="fr-FR"/>
              </w:rPr>
              <w:t>2001</w:t>
            </w:r>
          </w:p>
        </w:tc>
        <w:tc>
          <w:tcPr>
            <w:tcW w:w="567" w:type="dxa"/>
          </w:tcPr>
          <w:p w:rsidR="0020499E" w:rsidRDefault="008E27E1">
            <w:pPr>
              <w:jc w:val="center"/>
              <w:rPr>
                <w:rFonts w:eastAsia="Times New Roman" w:cs="Times New Roman"/>
                <w:sz w:val="18"/>
                <w:lang w:eastAsia="fr-FR"/>
              </w:rPr>
            </w:pPr>
            <w:r>
              <w:rPr>
                <w:rFonts w:eastAsia="Times New Roman" w:cs="Times New Roman"/>
                <w:sz w:val="18"/>
                <w:lang w:eastAsia="fr-FR"/>
              </w:rPr>
              <w:t>2002</w:t>
            </w:r>
          </w:p>
        </w:tc>
        <w:tc>
          <w:tcPr>
            <w:tcW w:w="567" w:type="dxa"/>
          </w:tcPr>
          <w:p w:rsidR="0020499E" w:rsidRDefault="008E27E1">
            <w:pPr>
              <w:jc w:val="center"/>
              <w:rPr>
                <w:rFonts w:eastAsia="Times New Roman" w:cs="Times New Roman"/>
                <w:sz w:val="18"/>
                <w:lang w:eastAsia="fr-FR"/>
              </w:rPr>
            </w:pPr>
            <w:r>
              <w:rPr>
                <w:rFonts w:eastAsia="Times New Roman" w:cs="Times New Roman"/>
                <w:sz w:val="18"/>
                <w:lang w:eastAsia="fr-FR"/>
              </w:rPr>
              <w:t>2003</w:t>
            </w:r>
          </w:p>
        </w:tc>
        <w:tc>
          <w:tcPr>
            <w:tcW w:w="567" w:type="dxa"/>
          </w:tcPr>
          <w:p w:rsidR="0020499E" w:rsidRDefault="008E27E1">
            <w:pPr>
              <w:jc w:val="center"/>
              <w:rPr>
                <w:rFonts w:eastAsia="Times New Roman" w:cs="Times New Roman"/>
                <w:sz w:val="18"/>
                <w:lang w:eastAsia="fr-FR"/>
              </w:rPr>
            </w:pPr>
            <w:r>
              <w:rPr>
                <w:rFonts w:eastAsia="Times New Roman" w:cs="Times New Roman"/>
                <w:sz w:val="18"/>
                <w:lang w:eastAsia="fr-FR"/>
              </w:rPr>
              <w:t>2004</w:t>
            </w:r>
          </w:p>
        </w:tc>
        <w:tc>
          <w:tcPr>
            <w:tcW w:w="567" w:type="dxa"/>
          </w:tcPr>
          <w:p w:rsidR="0020499E" w:rsidRDefault="008E27E1">
            <w:pPr>
              <w:jc w:val="center"/>
              <w:rPr>
                <w:rFonts w:eastAsia="Times New Roman" w:cs="Times New Roman"/>
                <w:sz w:val="18"/>
                <w:lang w:eastAsia="fr-FR"/>
              </w:rPr>
            </w:pPr>
            <w:r>
              <w:rPr>
                <w:rFonts w:eastAsia="Times New Roman" w:cs="Times New Roman"/>
                <w:sz w:val="18"/>
                <w:lang w:eastAsia="fr-FR"/>
              </w:rPr>
              <w:t>2005</w:t>
            </w:r>
          </w:p>
        </w:tc>
        <w:tc>
          <w:tcPr>
            <w:tcW w:w="567" w:type="dxa"/>
          </w:tcPr>
          <w:p w:rsidR="0020499E" w:rsidRDefault="008E27E1">
            <w:pPr>
              <w:jc w:val="center"/>
              <w:rPr>
                <w:sz w:val="18"/>
              </w:rPr>
            </w:pPr>
            <w:r>
              <w:rPr>
                <w:rFonts w:eastAsia="Times New Roman" w:cs="Times New Roman"/>
                <w:sz w:val="18"/>
                <w:lang w:eastAsia="fr-FR"/>
              </w:rPr>
              <w:t>2006</w:t>
            </w:r>
          </w:p>
        </w:tc>
        <w:tc>
          <w:tcPr>
            <w:tcW w:w="567" w:type="dxa"/>
          </w:tcPr>
          <w:p w:rsidR="0020499E" w:rsidRDefault="008E27E1">
            <w:pPr>
              <w:jc w:val="center"/>
              <w:rPr>
                <w:sz w:val="18"/>
              </w:rPr>
            </w:pPr>
            <w:r>
              <w:rPr>
                <w:rFonts w:eastAsia="Times New Roman" w:cs="Times New Roman"/>
                <w:sz w:val="18"/>
                <w:lang w:eastAsia="fr-FR"/>
              </w:rPr>
              <w:t>2007</w:t>
            </w:r>
          </w:p>
        </w:tc>
        <w:tc>
          <w:tcPr>
            <w:tcW w:w="567" w:type="dxa"/>
          </w:tcPr>
          <w:p w:rsidR="0020499E" w:rsidRDefault="008E27E1">
            <w:pPr>
              <w:jc w:val="center"/>
              <w:rPr>
                <w:sz w:val="18"/>
              </w:rPr>
            </w:pPr>
            <w:r>
              <w:rPr>
                <w:rFonts w:eastAsia="Times New Roman" w:cs="Times New Roman"/>
                <w:sz w:val="18"/>
                <w:lang w:eastAsia="fr-FR"/>
              </w:rPr>
              <w:t>2008</w:t>
            </w:r>
          </w:p>
        </w:tc>
        <w:tc>
          <w:tcPr>
            <w:tcW w:w="567" w:type="dxa"/>
          </w:tcPr>
          <w:p w:rsidR="0020499E" w:rsidRDefault="008E27E1">
            <w:pPr>
              <w:jc w:val="center"/>
              <w:rPr>
                <w:sz w:val="18"/>
              </w:rPr>
            </w:pPr>
            <w:r>
              <w:rPr>
                <w:rFonts w:eastAsia="Times New Roman" w:cs="Times New Roman"/>
                <w:sz w:val="18"/>
                <w:lang w:eastAsia="fr-FR"/>
              </w:rPr>
              <w:t>2009</w:t>
            </w:r>
          </w:p>
        </w:tc>
        <w:tc>
          <w:tcPr>
            <w:tcW w:w="567" w:type="dxa"/>
          </w:tcPr>
          <w:p w:rsidR="0020499E" w:rsidRDefault="008E27E1">
            <w:pPr>
              <w:jc w:val="center"/>
              <w:rPr>
                <w:sz w:val="18"/>
              </w:rPr>
            </w:pPr>
            <w:r>
              <w:rPr>
                <w:rFonts w:eastAsia="Times New Roman" w:cs="Times New Roman"/>
                <w:sz w:val="18"/>
                <w:lang w:eastAsia="fr-FR"/>
              </w:rPr>
              <w:t>2010</w:t>
            </w:r>
          </w:p>
        </w:tc>
        <w:tc>
          <w:tcPr>
            <w:tcW w:w="567" w:type="dxa"/>
          </w:tcPr>
          <w:p w:rsidR="0020499E" w:rsidRDefault="008E27E1">
            <w:pPr>
              <w:jc w:val="center"/>
              <w:rPr>
                <w:sz w:val="18"/>
              </w:rPr>
            </w:pPr>
            <w:r>
              <w:rPr>
                <w:rFonts w:eastAsia="Times New Roman" w:cs="Times New Roman"/>
                <w:sz w:val="18"/>
                <w:lang w:eastAsia="fr-FR"/>
              </w:rPr>
              <w:t>2011</w:t>
            </w:r>
          </w:p>
        </w:tc>
        <w:tc>
          <w:tcPr>
            <w:tcW w:w="567" w:type="dxa"/>
          </w:tcPr>
          <w:p w:rsidR="0020499E" w:rsidRDefault="008E27E1">
            <w:pPr>
              <w:jc w:val="center"/>
              <w:rPr>
                <w:sz w:val="18"/>
              </w:rPr>
            </w:pPr>
            <w:r>
              <w:rPr>
                <w:rFonts w:eastAsia="Times New Roman" w:cs="Times New Roman"/>
                <w:sz w:val="18"/>
                <w:lang w:eastAsia="fr-FR"/>
              </w:rPr>
              <w:t>2012</w:t>
            </w:r>
          </w:p>
        </w:tc>
      </w:tr>
      <w:tr w:rsidR="0020499E">
        <w:trPr>
          <w:trHeight w:val="283"/>
          <w:tblCellSpacing w:w="0" w:type="dxa"/>
        </w:trPr>
        <w:tc>
          <w:tcPr>
            <w:tcW w:w="2575" w:type="dxa"/>
            <w:hideMark/>
          </w:tcPr>
          <w:p w:rsidR="0020499E" w:rsidRDefault="008E27E1">
            <w:pPr>
              <w:ind w:left="117"/>
              <w:jc w:val="left"/>
              <w:rPr>
                <w:rFonts w:eastAsia="Times New Roman" w:cs="Times New Roman"/>
                <w:sz w:val="18"/>
                <w:lang w:eastAsia="fr-FR"/>
              </w:rPr>
            </w:pPr>
            <w:r>
              <w:rPr>
                <w:rFonts w:eastAsia="Times New Roman" w:cs="Times New Roman"/>
                <w:sz w:val="18"/>
                <w:lang w:eastAsia="fr-FR"/>
              </w:rPr>
              <w:t>Special machines</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18</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16</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7</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19</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6</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8</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17</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15</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17</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5</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12</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12</w:t>
            </w:r>
          </w:p>
        </w:tc>
      </w:tr>
      <w:tr w:rsidR="0020499E">
        <w:trPr>
          <w:trHeight w:val="283"/>
          <w:tblCellSpacing w:w="0" w:type="dxa"/>
        </w:trPr>
        <w:tc>
          <w:tcPr>
            <w:tcW w:w="2575" w:type="dxa"/>
            <w:hideMark/>
          </w:tcPr>
          <w:p w:rsidR="0020499E" w:rsidRDefault="008E27E1">
            <w:pPr>
              <w:ind w:left="117"/>
              <w:jc w:val="left"/>
              <w:rPr>
                <w:rFonts w:eastAsia="Times New Roman" w:cs="Times New Roman"/>
                <w:sz w:val="18"/>
                <w:lang w:eastAsia="fr-FR"/>
              </w:rPr>
            </w:pPr>
            <w:r>
              <w:rPr>
                <w:rFonts w:eastAsia="Times New Roman" w:cs="Times New Roman"/>
                <w:sz w:val="18"/>
                <w:lang w:eastAsia="fr-FR"/>
              </w:rPr>
              <w:t>Food chemistry</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22</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16</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8</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12</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10</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23</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14</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16</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25</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4</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15</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9</w:t>
            </w:r>
          </w:p>
        </w:tc>
      </w:tr>
      <w:tr w:rsidR="0020499E">
        <w:trPr>
          <w:trHeight w:val="283"/>
          <w:tblCellSpacing w:w="0" w:type="dxa"/>
        </w:trPr>
        <w:tc>
          <w:tcPr>
            <w:tcW w:w="2575" w:type="dxa"/>
            <w:hideMark/>
          </w:tcPr>
          <w:p w:rsidR="0020499E" w:rsidRDefault="008E27E1">
            <w:pPr>
              <w:ind w:left="117"/>
              <w:jc w:val="left"/>
              <w:rPr>
                <w:rFonts w:eastAsia="Times New Roman" w:cs="Times New Roman"/>
                <w:sz w:val="18"/>
                <w:lang w:eastAsia="fr-FR"/>
              </w:rPr>
            </w:pPr>
            <w:r>
              <w:rPr>
                <w:rFonts w:eastAsia="Times New Roman" w:cs="Times New Roman"/>
                <w:sz w:val="18"/>
                <w:lang w:eastAsia="fr-FR"/>
              </w:rPr>
              <w:t>Engines, pumps, turbines</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29</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18</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10</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7</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3</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22</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10</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21</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11</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3</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7</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15</w:t>
            </w:r>
          </w:p>
        </w:tc>
      </w:tr>
      <w:tr w:rsidR="0020499E">
        <w:trPr>
          <w:trHeight w:val="283"/>
          <w:tblCellSpacing w:w="0" w:type="dxa"/>
        </w:trPr>
        <w:tc>
          <w:tcPr>
            <w:tcW w:w="2575" w:type="dxa"/>
            <w:hideMark/>
          </w:tcPr>
          <w:p w:rsidR="0020499E" w:rsidRDefault="008E27E1">
            <w:pPr>
              <w:ind w:left="117"/>
              <w:jc w:val="left"/>
              <w:rPr>
                <w:rFonts w:eastAsia="Times New Roman" w:cs="Times New Roman"/>
                <w:sz w:val="18"/>
                <w:lang w:eastAsia="fr-FR"/>
              </w:rPr>
            </w:pPr>
            <w:r>
              <w:rPr>
                <w:rFonts w:eastAsia="Times New Roman" w:cs="Times New Roman"/>
                <w:sz w:val="18"/>
                <w:lang w:eastAsia="fr-FR"/>
              </w:rPr>
              <w:t>Civil engineering</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17</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19</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7</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9</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5</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11</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4</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5</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9</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4</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9</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11</w:t>
            </w:r>
          </w:p>
        </w:tc>
      </w:tr>
      <w:tr w:rsidR="0020499E">
        <w:trPr>
          <w:trHeight w:val="283"/>
          <w:tblCellSpacing w:w="0" w:type="dxa"/>
        </w:trPr>
        <w:tc>
          <w:tcPr>
            <w:tcW w:w="2575" w:type="dxa"/>
            <w:hideMark/>
          </w:tcPr>
          <w:p w:rsidR="0020499E" w:rsidRDefault="008E27E1">
            <w:pPr>
              <w:ind w:left="117"/>
              <w:jc w:val="left"/>
              <w:rPr>
                <w:rFonts w:eastAsia="Times New Roman" w:cs="Times New Roman"/>
                <w:sz w:val="18"/>
                <w:lang w:eastAsia="fr-FR"/>
              </w:rPr>
            </w:pPr>
            <w:r>
              <w:rPr>
                <w:rFonts w:eastAsia="Times New Roman" w:cs="Times New Roman"/>
                <w:sz w:val="18"/>
                <w:lang w:eastAsia="fr-FR"/>
              </w:rPr>
              <w:t>Mechanical elements</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3</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2</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3</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5</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4</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4</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9</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9</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10</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5</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4</w:t>
            </w:r>
          </w:p>
        </w:tc>
        <w:tc>
          <w:tcPr>
            <w:tcW w:w="567" w:type="dxa"/>
            <w:hideMark/>
          </w:tcPr>
          <w:p w:rsidR="0020499E" w:rsidRDefault="008E27E1">
            <w:pPr>
              <w:jc w:val="center"/>
              <w:rPr>
                <w:rFonts w:eastAsia="Times New Roman" w:cs="Times New Roman"/>
                <w:sz w:val="18"/>
                <w:lang w:eastAsia="fr-FR"/>
              </w:rPr>
            </w:pPr>
            <w:r>
              <w:rPr>
                <w:rFonts w:eastAsia="Times New Roman" w:cs="Times New Roman"/>
                <w:sz w:val="18"/>
                <w:lang w:eastAsia="fr-FR"/>
              </w:rPr>
              <w:t>14</w:t>
            </w:r>
          </w:p>
        </w:tc>
      </w:tr>
    </w:tbl>
    <w:p w:rsidR="0020499E" w:rsidRDefault="008E27E1">
      <w:pPr>
        <w:jc w:val="center"/>
        <w:rPr>
          <w:rFonts w:eastAsia="Times New Roman"/>
          <w:sz w:val="18"/>
        </w:rPr>
      </w:pPr>
      <w:r>
        <w:rPr>
          <w:rFonts w:eastAsia="Times New Roman"/>
          <w:sz w:val="18"/>
        </w:rPr>
        <w:t xml:space="preserve">Source: WIPO, </w:t>
      </w:r>
      <w:r>
        <w:rPr>
          <w:rFonts w:eastAsia="Times New Roman"/>
          <w:sz w:val="18"/>
        </w:rPr>
        <w:t>2014</w:t>
      </w:r>
    </w:p>
    <w:p w:rsidR="0020499E" w:rsidRDefault="0020499E"/>
    <w:p w:rsidR="0020499E" w:rsidRDefault="008E27E1">
      <w:r>
        <w:t>In terms of patent output, the category that is labelled “engineering and technology” in bibliometric databases is by far the most productive research field: it encompasses three of the top five patenting fields. Its bibliometric score is rather medi</w:t>
      </w:r>
      <w:r>
        <w:t xml:space="preserve">ocre compared to other fields, but this is not an unexpected finding for such field of research. </w:t>
      </w:r>
    </w:p>
    <w:p w:rsidR="0020499E" w:rsidRDefault="0020499E"/>
    <w:p w:rsidR="0020499E" w:rsidRDefault="008E27E1">
      <w:r>
        <w:t>For the opposite reason, the absence of the top Georgian fields of research identified in our bibliometric analysis is also logical, since they are in discip</w:t>
      </w:r>
      <w:r>
        <w:t>lines that do not produce industrial – hence patentable – applications (</w:t>
      </w:r>
      <w:r>
        <w:rPr>
          <w:i/>
        </w:rPr>
        <w:t>e.g.</w:t>
      </w:r>
      <w:r>
        <w:t xml:space="preserve"> astronomy, mathematics, or computer sciences). </w:t>
      </w:r>
    </w:p>
    <w:p w:rsidR="0020499E" w:rsidRDefault="0020499E"/>
    <w:p w:rsidR="0020499E" w:rsidRDefault="008E27E1">
      <w:r>
        <w:t>The fact that patent outputs and bibliometric</w:t>
      </w:r>
      <w:r>
        <w:t xml:space="preserve"> outputs are not correlated highlights the necessity to define a specific set of research performance indicators for each research field.   </w:t>
      </w:r>
    </w:p>
    <w:p w:rsidR="0020499E" w:rsidRDefault="008E27E1">
      <w:pPr>
        <w:tabs>
          <w:tab w:val="left" w:pos="3505"/>
        </w:tabs>
      </w:pPr>
      <w:r>
        <w:tab/>
      </w:r>
    </w:p>
    <w:p w:rsidR="0020499E" w:rsidRDefault="008E27E1">
      <w:pPr>
        <w:pStyle w:val="Heading3"/>
      </w:pPr>
      <w:bookmarkStart w:id="20" w:name="_Toc389396907"/>
      <w:r>
        <w:t>2.1.2 Trends in patent applications</w:t>
      </w:r>
      <w:bookmarkEnd w:id="20"/>
    </w:p>
    <w:p w:rsidR="0020499E" w:rsidRDefault="0020499E"/>
    <w:p w:rsidR="0020499E" w:rsidRDefault="008E27E1">
      <w:r>
        <w:t>The graph below show the evolution of patent applications in Georgia since 1</w:t>
      </w:r>
      <w:r>
        <w:t xml:space="preserve">998: </w:t>
      </w:r>
    </w:p>
    <w:p w:rsidR="0020499E" w:rsidRDefault="008E27E1">
      <w:pPr>
        <w:jc w:val="center"/>
      </w:pPr>
      <w:r>
        <w:rPr>
          <w:noProof/>
        </w:rPr>
        <w:drawing>
          <wp:inline distT="0" distB="0" distL="0" distR="0">
            <wp:extent cx="3010618" cy="2819356"/>
            <wp:effectExtent l="0" t="0" r="0" b="635"/>
            <wp:docPr id="36" name="Image 36" descr="http://www.wipo.int/ipstats/en/statistics/country_profile/countries/graphs/ge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wipo.int/ipstats/en/statistics/country_profile/countries/graphs/ge10.gif"/>
                    <pic:cNvPicPr>
                      <a:picLocks noChangeAspect="1" noChangeArrowheads="1"/>
                    </pic:cNvPicPr>
                  </pic:nvPicPr>
                  <pic:blipFill>
                    <a:blip r:embed="rId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12876" cy="2821471"/>
                    </a:xfrm>
                    <a:prstGeom prst="rect">
                      <a:avLst/>
                    </a:prstGeom>
                    <a:noFill/>
                    <a:ln>
                      <a:noFill/>
                    </a:ln>
                  </pic:spPr>
                </pic:pic>
              </a:graphicData>
            </a:graphic>
          </wp:inline>
        </w:drawing>
      </w:r>
    </w:p>
    <w:p w:rsidR="0020499E" w:rsidRDefault="008E27E1">
      <w:r>
        <w:t>The recent drop in the number of applications filed by Georgian residents indicates either a decline in patentable research results or diminishing financial resources to pay the filing fees. Which of these two causes is the most plausible in the ca</w:t>
      </w:r>
      <w:r>
        <w:t xml:space="preserve">se of Georgia?  Trends in so-called “utility model” applications bring some insight. </w:t>
      </w:r>
    </w:p>
    <w:p w:rsidR="0020499E" w:rsidRDefault="0020499E"/>
    <w:p w:rsidR="0020499E" w:rsidRDefault="008E27E1">
      <w:pPr>
        <w:pStyle w:val="NormalWeb"/>
        <w:spacing w:before="0" w:beforeAutospacing="0" w:after="0" w:afterAutospacing="0"/>
        <w:rPr>
          <w:rFonts w:ascii="Verdana" w:hAnsi="Verdana"/>
          <w:sz w:val="20"/>
          <w:szCs w:val="20"/>
        </w:rPr>
      </w:pPr>
      <w:r>
        <w:rPr>
          <w:rFonts w:ascii="Verdana" w:hAnsi="Verdana"/>
          <w:sz w:val="20"/>
          <w:szCs w:val="20"/>
        </w:rPr>
        <w:t xml:space="preserve">Next to patents, various countries – among which Georgia – grant utility models which are second-class patents sometimes referred to as "petty patents".  Utility models </w:t>
      </w:r>
      <w:r>
        <w:rPr>
          <w:rFonts w:ascii="Verdana" w:hAnsi="Verdana"/>
          <w:sz w:val="20"/>
          <w:szCs w:val="20"/>
        </w:rPr>
        <w:t xml:space="preserve">have a shorter duration and are not suitable for all kinds of innovations.  But the filing process is simpler and </w:t>
      </w:r>
      <w:r>
        <w:rPr>
          <w:rFonts w:ascii="Verdana" w:hAnsi="Verdana"/>
          <w:sz w:val="20"/>
          <w:szCs w:val="20"/>
        </w:rPr>
        <w:lastRenderedPageBreak/>
        <w:t>far less stringent than for patents, and most importantly, much cheaper. Thus, utility models are as much an indicator of second class innovat</w:t>
      </w:r>
      <w:r>
        <w:rPr>
          <w:rFonts w:ascii="Verdana" w:hAnsi="Verdana"/>
          <w:sz w:val="20"/>
          <w:szCs w:val="20"/>
        </w:rPr>
        <w:t>ion (</w:t>
      </w:r>
      <w:r>
        <w:rPr>
          <w:rFonts w:ascii="Verdana" w:hAnsi="Verdana"/>
          <w:i/>
          <w:sz w:val="20"/>
          <w:szCs w:val="20"/>
        </w:rPr>
        <w:t>e.g.</w:t>
      </w:r>
      <w:r>
        <w:rPr>
          <w:rFonts w:ascii="Verdana" w:hAnsi="Verdana"/>
          <w:sz w:val="20"/>
          <w:szCs w:val="20"/>
        </w:rPr>
        <w:t xml:space="preserve"> incremental) as they are an indicator of limited financial resources, since they are sometimes the only IP right tha t an inventor can afford. </w:t>
      </w:r>
    </w:p>
    <w:p w:rsidR="0020499E" w:rsidRDefault="0020499E">
      <w:pPr>
        <w:pStyle w:val="NormalWeb"/>
        <w:spacing w:before="0" w:beforeAutospacing="0" w:after="0" w:afterAutospacing="0"/>
        <w:rPr>
          <w:rFonts w:ascii="Verdana" w:hAnsi="Verdana"/>
          <w:sz w:val="20"/>
          <w:szCs w:val="20"/>
        </w:rPr>
      </w:pPr>
    </w:p>
    <w:p w:rsidR="0020499E" w:rsidRDefault="008E27E1">
      <w:pPr>
        <w:pStyle w:val="NormalWeb"/>
        <w:spacing w:before="0" w:beforeAutospacing="0" w:after="0" w:afterAutospacing="0"/>
        <w:rPr>
          <w:rFonts w:ascii="Verdana" w:hAnsi="Verdana"/>
          <w:sz w:val="20"/>
          <w:szCs w:val="20"/>
        </w:rPr>
      </w:pPr>
      <w:r>
        <w:rPr>
          <w:rFonts w:ascii="Verdana" w:hAnsi="Verdana"/>
          <w:sz w:val="20"/>
          <w:szCs w:val="20"/>
        </w:rPr>
        <w:t xml:space="preserve">The two graphs below show the respective evolutions of patent and utility model applications for the </w:t>
      </w:r>
      <w:r>
        <w:rPr>
          <w:rFonts w:ascii="Verdana" w:hAnsi="Verdana"/>
          <w:sz w:val="20"/>
          <w:szCs w:val="20"/>
        </w:rPr>
        <w:t>period 1998-2012 in Georgia:</w:t>
      </w:r>
    </w:p>
    <w:p w:rsidR="0020499E" w:rsidRDefault="008E27E1">
      <w:pPr>
        <w:autoSpaceDE/>
        <w:autoSpaceDN/>
        <w:adjustRightInd/>
        <w:jc w:val="left"/>
      </w:pPr>
      <w:r>
        <w:rPr>
          <w:noProof/>
        </w:rPr>
        <w:drawing>
          <wp:inline distT="0" distB="0" distL="0" distR="0">
            <wp:extent cx="3045125" cy="3416060"/>
            <wp:effectExtent l="0" t="0" r="3175" b="0"/>
            <wp:docPr id="48" name="Image 48" descr="http://www.wipo.int/ipstats/en/statistics/country_profile/countries/graphs/ge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wipo.int/ipstats/en/statistics/country_profile/countries/graphs/ge10.gif"/>
                    <pic:cNvPicPr>
                      <a:picLocks noChangeAspect="1" noChangeArrowheads="1"/>
                    </pic:cNvPicPr>
                  </pic:nvPicPr>
                  <pic:blipFill>
                    <a:blip r:embed="rId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5125" cy="3416060"/>
                    </a:xfrm>
                    <a:prstGeom prst="rect">
                      <a:avLst/>
                    </a:prstGeom>
                    <a:noFill/>
                    <a:ln>
                      <a:noFill/>
                    </a:ln>
                  </pic:spPr>
                </pic:pic>
              </a:graphicData>
            </a:graphic>
          </wp:inline>
        </w:drawing>
      </w:r>
      <w:r>
        <w:rPr>
          <w:noProof/>
        </w:rPr>
        <w:drawing>
          <wp:inline distT="0" distB="0" distL="0" distR="0">
            <wp:extent cx="2923270" cy="3278037"/>
            <wp:effectExtent l="0" t="0" r="0" b="0"/>
            <wp:docPr id="54" name="Image 54" descr="http://www.wipo.int/ipstats/en/statistics/country_profile/countries/graphs/ge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wipo.int/ipstats/en/statistics/country_profile/countries/graphs/ge20.gif"/>
                    <pic:cNvPicPr>
                      <a:picLocks noChangeAspect="1" noChangeArrowheads="1"/>
                    </pic:cNvPicPr>
                  </pic:nvPicPr>
                  <pic:blipFill>
                    <a:blip r:embed="rId3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23270" cy="3278037"/>
                    </a:xfrm>
                    <a:prstGeom prst="rect">
                      <a:avLst/>
                    </a:prstGeom>
                    <a:noFill/>
                    <a:ln>
                      <a:noFill/>
                    </a:ln>
                  </pic:spPr>
                </pic:pic>
              </a:graphicData>
            </a:graphic>
          </wp:inline>
        </w:drawing>
      </w:r>
    </w:p>
    <w:p w:rsidR="0020499E" w:rsidRDefault="008E27E1">
      <w:pPr>
        <w:autoSpaceDE/>
        <w:autoSpaceDN/>
        <w:adjustRightInd/>
      </w:pPr>
      <w:r>
        <w:t>Although scales are different, these graphs show somewhat comparable trends in total applications filed by Georgian residents for each type of IP rights. In other words, a decrease in patent applications did not result in an</w:t>
      </w:r>
      <w:r>
        <w:t xml:space="preserve"> increase in utility model applications. </w:t>
      </w:r>
    </w:p>
    <w:p w:rsidR="0020499E" w:rsidRDefault="0020499E">
      <w:pPr>
        <w:autoSpaceDE/>
        <w:autoSpaceDN/>
        <w:adjustRightInd/>
      </w:pPr>
    </w:p>
    <w:p w:rsidR="0020499E" w:rsidRDefault="008E27E1">
      <w:pPr>
        <w:autoSpaceDE/>
        <w:autoSpaceDN/>
        <w:adjustRightInd/>
      </w:pPr>
      <w:r>
        <w:t>This finding alone is more a clue than evidence, but it suggests that rather than patenting, it is innovation</w:t>
      </w:r>
      <w:r>
        <w:rPr>
          <w:i/>
        </w:rPr>
        <w:t xml:space="preserve"> per se</w:t>
      </w:r>
      <w:r>
        <w:t xml:space="preserve"> that is affected by low research funding. </w:t>
      </w:r>
    </w:p>
    <w:p w:rsidR="0020499E" w:rsidRDefault="0020499E"/>
    <w:p w:rsidR="0020499E" w:rsidRDefault="008E27E1">
      <w:pPr>
        <w:pStyle w:val="Heading2"/>
      </w:pPr>
      <w:bookmarkStart w:id="21" w:name="_Toc389396908"/>
      <w:r>
        <w:t>2.2 International comparison</w:t>
      </w:r>
      <w:bookmarkEnd w:id="21"/>
    </w:p>
    <w:p w:rsidR="0020499E" w:rsidRDefault="0020499E"/>
    <w:p w:rsidR="0020499E" w:rsidRDefault="008E27E1">
      <w:pPr>
        <w:pStyle w:val="Heading3"/>
      </w:pPr>
      <w:bookmarkStart w:id="22" w:name="_Toc389396909"/>
      <w:r>
        <w:t>2.2.1 Total patent app</w:t>
      </w:r>
      <w:r>
        <w:t>lications</w:t>
      </w:r>
      <w:bookmarkEnd w:id="22"/>
    </w:p>
    <w:p w:rsidR="0020499E" w:rsidRDefault="0020499E"/>
    <w:p w:rsidR="0020499E" w:rsidRDefault="008E27E1">
      <w:r>
        <w:t xml:space="preserve">In addition to Georgia, our country sample includes four former Soviet countries: Armenia, Azerbaijan, Belarus and Estonia. To allow a meaningful comparison, the table below indicates their respective GDPs and populations:  </w:t>
      </w:r>
    </w:p>
    <w:p w:rsidR="0020499E" w:rsidRDefault="0020499E"/>
    <w:tbl>
      <w:tblPr>
        <w:tblStyle w:val="TableGrid"/>
        <w:tblW w:w="0" w:type="auto"/>
        <w:jc w:val="center"/>
        <w:tblLayout w:type="fixed"/>
        <w:tblLook w:val="04A0"/>
      </w:tblPr>
      <w:tblGrid>
        <w:gridCol w:w="1677"/>
        <w:gridCol w:w="1550"/>
        <w:gridCol w:w="850"/>
        <w:gridCol w:w="1895"/>
        <w:gridCol w:w="1025"/>
      </w:tblGrid>
      <w:tr w:rsidR="0020499E">
        <w:trPr>
          <w:jc w:val="center"/>
        </w:trPr>
        <w:tc>
          <w:tcPr>
            <w:tcW w:w="1677" w:type="dxa"/>
            <w:vMerge w:val="restart"/>
            <w:tcBorders>
              <w:top w:val="nil"/>
              <w:left w:val="nil"/>
            </w:tcBorders>
          </w:tcPr>
          <w:p w:rsidR="0020499E" w:rsidRDefault="0020499E">
            <w:pPr>
              <w:jc w:val="center"/>
              <w:rPr>
                <w:lang w:val="en-US"/>
              </w:rPr>
            </w:pPr>
          </w:p>
        </w:tc>
        <w:tc>
          <w:tcPr>
            <w:tcW w:w="2400" w:type="dxa"/>
            <w:gridSpan w:val="2"/>
          </w:tcPr>
          <w:p w:rsidR="0020499E" w:rsidRDefault="008E27E1">
            <w:pPr>
              <w:jc w:val="center"/>
              <w:rPr>
                <w:b/>
                <w:lang w:val="en-US"/>
              </w:rPr>
            </w:pPr>
            <w:r>
              <w:rPr>
                <w:b/>
                <w:lang w:val="en-US"/>
              </w:rPr>
              <w:t>GDP (in 2012)</w:t>
            </w:r>
          </w:p>
        </w:tc>
        <w:tc>
          <w:tcPr>
            <w:tcW w:w="2920" w:type="dxa"/>
            <w:gridSpan w:val="2"/>
          </w:tcPr>
          <w:p w:rsidR="0020499E" w:rsidRDefault="008E27E1">
            <w:pPr>
              <w:jc w:val="center"/>
              <w:rPr>
                <w:b/>
                <w:lang w:val="en-US"/>
              </w:rPr>
            </w:pPr>
            <w:r>
              <w:rPr>
                <w:b/>
                <w:lang w:val="en-US"/>
              </w:rPr>
              <w:t>Population (in 2012)</w:t>
            </w:r>
          </w:p>
        </w:tc>
      </w:tr>
      <w:tr w:rsidR="0020499E">
        <w:trPr>
          <w:jc w:val="center"/>
        </w:trPr>
        <w:tc>
          <w:tcPr>
            <w:tcW w:w="1677" w:type="dxa"/>
            <w:vMerge/>
            <w:tcBorders>
              <w:left w:val="nil"/>
            </w:tcBorders>
          </w:tcPr>
          <w:p w:rsidR="0020499E" w:rsidRDefault="0020499E">
            <w:pPr>
              <w:jc w:val="center"/>
              <w:rPr>
                <w:lang w:val="en-US"/>
              </w:rPr>
            </w:pPr>
          </w:p>
        </w:tc>
        <w:tc>
          <w:tcPr>
            <w:tcW w:w="1550" w:type="dxa"/>
          </w:tcPr>
          <w:p w:rsidR="0020499E" w:rsidRDefault="008E27E1">
            <w:pPr>
              <w:jc w:val="center"/>
              <w:rPr>
                <w:lang w:val="en-US"/>
              </w:rPr>
            </w:pPr>
            <w:r>
              <w:rPr>
                <w:lang w:val="en-US"/>
              </w:rPr>
              <w:t>Billion USD)</w:t>
            </w:r>
          </w:p>
        </w:tc>
        <w:tc>
          <w:tcPr>
            <w:tcW w:w="850" w:type="dxa"/>
          </w:tcPr>
          <w:p w:rsidR="0020499E" w:rsidRDefault="008E27E1">
            <w:pPr>
              <w:jc w:val="center"/>
              <w:rPr>
                <w:lang w:val="en-US"/>
              </w:rPr>
            </w:pPr>
            <w:r>
              <w:rPr>
                <w:lang w:val="en-US"/>
              </w:rPr>
              <w:t>Rank</w:t>
            </w:r>
          </w:p>
        </w:tc>
        <w:tc>
          <w:tcPr>
            <w:tcW w:w="1895" w:type="dxa"/>
          </w:tcPr>
          <w:p w:rsidR="0020499E" w:rsidRDefault="008E27E1">
            <w:pPr>
              <w:jc w:val="center"/>
              <w:rPr>
                <w:lang w:val="en-US"/>
              </w:rPr>
            </w:pPr>
            <w:r>
              <w:rPr>
                <w:lang w:val="en-US"/>
              </w:rPr>
              <w:t>Million</w:t>
            </w:r>
          </w:p>
        </w:tc>
        <w:tc>
          <w:tcPr>
            <w:tcW w:w="1025" w:type="dxa"/>
          </w:tcPr>
          <w:p w:rsidR="0020499E" w:rsidRDefault="008E27E1">
            <w:pPr>
              <w:jc w:val="center"/>
              <w:rPr>
                <w:lang w:val="en-US"/>
              </w:rPr>
            </w:pPr>
            <w:r>
              <w:rPr>
                <w:lang w:val="en-US"/>
              </w:rPr>
              <w:t>Rank</w:t>
            </w:r>
          </w:p>
        </w:tc>
      </w:tr>
      <w:tr w:rsidR="0020499E">
        <w:trPr>
          <w:jc w:val="center"/>
        </w:trPr>
        <w:tc>
          <w:tcPr>
            <w:tcW w:w="1677" w:type="dxa"/>
          </w:tcPr>
          <w:p w:rsidR="0020499E" w:rsidRDefault="008E27E1">
            <w:pPr>
              <w:jc w:val="center"/>
              <w:rPr>
                <w:b/>
                <w:lang w:val="en-US"/>
              </w:rPr>
            </w:pPr>
            <w:r>
              <w:rPr>
                <w:b/>
                <w:lang w:val="en-US"/>
              </w:rPr>
              <w:t>Georgia</w:t>
            </w:r>
          </w:p>
        </w:tc>
        <w:tc>
          <w:tcPr>
            <w:tcW w:w="1550" w:type="dxa"/>
          </w:tcPr>
          <w:p w:rsidR="0020499E" w:rsidRDefault="008E27E1">
            <w:pPr>
              <w:jc w:val="center"/>
              <w:rPr>
                <w:lang w:val="en-US"/>
              </w:rPr>
            </w:pPr>
            <w:r>
              <w:rPr>
                <w:rFonts w:eastAsia="Times New Roman" w:cs="Times New Roman"/>
                <w:bCs/>
                <w:sz w:val="20"/>
                <w:szCs w:val="20"/>
                <w:lang w:val="en-US" w:eastAsia="fr-FR"/>
              </w:rPr>
              <w:t>22.95</w:t>
            </w:r>
          </w:p>
        </w:tc>
        <w:tc>
          <w:tcPr>
            <w:tcW w:w="850" w:type="dxa"/>
          </w:tcPr>
          <w:p w:rsidR="0020499E" w:rsidRDefault="008E27E1">
            <w:pPr>
              <w:jc w:val="center"/>
              <w:rPr>
                <w:lang w:val="en-US"/>
              </w:rPr>
            </w:pPr>
            <w:r>
              <w:rPr>
                <w:rFonts w:eastAsia="Times New Roman" w:cs="Times New Roman"/>
                <w:bCs/>
                <w:sz w:val="20"/>
                <w:szCs w:val="20"/>
                <w:lang w:val="en-US" w:eastAsia="fr-FR"/>
              </w:rPr>
              <w:t>106</w:t>
            </w:r>
          </w:p>
        </w:tc>
        <w:tc>
          <w:tcPr>
            <w:tcW w:w="1895" w:type="dxa"/>
          </w:tcPr>
          <w:p w:rsidR="0020499E" w:rsidRDefault="008E27E1">
            <w:pPr>
              <w:jc w:val="center"/>
              <w:rPr>
                <w:lang w:val="en-US"/>
              </w:rPr>
            </w:pPr>
            <w:r>
              <w:rPr>
                <w:rFonts w:eastAsia="Times New Roman" w:cs="Times New Roman"/>
                <w:bCs/>
                <w:sz w:val="20"/>
                <w:szCs w:val="20"/>
                <w:lang w:val="en-US" w:eastAsia="fr-FR"/>
              </w:rPr>
              <w:t>4.51</w:t>
            </w:r>
          </w:p>
        </w:tc>
        <w:tc>
          <w:tcPr>
            <w:tcW w:w="1025" w:type="dxa"/>
          </w:tcPr>
          <w:p w:rsidR="0020499E" w:rsidRDefault="008E27E1">
            <w:pPr>
              <w:jc w:val="center"/>
              <w:rPr>
                <w:lang w:val="en-US"/>
              </w:rPr>
            </w:pPr>
            <w:r>
              <w:rPr>
                <w:rFonts w:eastAsia="Times New Roman" w:cs="Times New Roman"/>
                <w:bCs/>
                <w:sz w:val="20"/>
                <w:szCs w:val="20"/>
                <w:lang w:val="en-US" w:eastAsia="fr-FR"/>
              </w:rPr>
              <w:t>120</w:t>
            </w:r>
          </w:p>
        </w:tc>
      </w:tr>
      <w:tr w:rsidR="0020499E">
        <w:trPr>
          <w:jc w:val="center"/>
        </w:trPr>
        <w:tc>
          <w:tcPr>
            <w:tcW w:w="1677" w:type="dxa"/>
          </w:tcPr>
          <w:p w:rsidR="0020499E" w:rsidRDefault="008E27E1">
            <w:pPr>
              <w:jc w:val="center"/>
              <w:rPr>
                <w:b/>
                <w:lang w:val="en-US"/>
              </w:rPr>
            </w:pPr>
            <w:r>
              <w:rPr>
                <w:b/>
                <w:lang w:val="en-US"/>
              </w:rPr>
              <w:t>Armenia</w:t>
            </w:r>
          </w:p>
        </w:tc>
        <w:tc>
          <w:tcPr>
            <w:tcW w:w="1550" w:type="dxa"/>
          </w:tcPr>
          <w:p w:rsidR="0020499E" w:rsidRDefault="008E27E1">
            <w:pPr>
              <w:jc w:val="center"/>
              <w:rPr>
                <w:lang w:val="en-US"/>
              </w:rPr>
            </w:pPr>
            <w:r>
              <w:rPr>
                <w:rFonts w:eastAsia="Times New Roman" w:cs="Times New Roman"/>
                <w:bCs/>
                <w:sz w:val="20"/>
                <w:szCs w:val="20"/>
                <w:lang w:val="en-US" w:eastAsia="fr-FR"/>
              </w:rPr>
              <w:t>17</w:t>
            </w:r>
          </w:p>
        </w:tc>
        <w:tc>
          <w:tcPr>
            <w:tcW w:w="850" w:type="dxa"/>
          </w:tcPr>
          <w:p w:rsidR="0020499E" w:rsidRDefault="008E27E1">
            <w:pPr>
              <w:jc w:val="center"/>
              <w:rPr>
                <w:lang w:val="en-US"/>
              </w:rPr>
            </w:pPr>
            <w:r>
              <w:rPr>
                <w:rFonts w:eastAsia="Times New Roman" w:cs="Times New Roman"/>
                <w:bCs/>
                <w:sz w:val="20"/>
                <w:szCs w:val="20"/>
                <w:lang w:val="en-US" w:eastAsia="fr-FR"/>
              </w:rPr>
              <w:t>119</w:t>
            </w:r>
          </w:p>
        </w:tc>
        <w:tc>
          <w:tcPr>
            <w:tcW w:w="1895" w:type="dxa"/>
          </w:tcPr>
          <w:p w:rsidR="0020499E" w:rsidRDefault="008E27E1">
            <w:pPr>
              <w:jc w:val="center"/>
              <w:rPr>
                <w:lang w:val="en-US"/>
              </w:rPr>
            </w:pPr>
            <w:r>
              <w:rPr>
                <w:rFonts w:eastAsia="Times New Roman" w:cs="Times New Roman"/>
                <w:bCs/>
                <w:sz w:val="20"/>
                <w:szCs w:val="20"/>
                <w:lang w:val="en-US" w:eastAsia="fr-FR"/>
              </w:rPr>
              <w:t>2.97</w:t>
            </w:r>
          </w:p>
        </w:tc>
        <w:tc>
          <w:tcPr>
            <w:tcW w:w="1025" w:type="dxa"/>
          </w:tcPr>
          <w:p w:rsidR="0020499E" w:rsidRDefault="008E27E1">
            <w:pPr>
              <w:jc w:val="center"/>
              <w:rPr>
                <w:lang w:val="en-US"/>
              </w:rPr>
            </w:pPr>
            <w:r>
              <w:rPr>
                <w:rFonts w:eastAsia="Times New Roman" w:cs="Times New Roman"/>
                <w:bCs/>
                <w:sz w:val="20"/>
                <w:szCs w:val="20"/>
                <w:lang w:val="en-US" w:eastAsia="fr-FR"/>
              </w:rPr>
              <w:t>135</w:t>
            </w:r>
          </w:p>
        </w:tc>
      </w:tr>
      <w:tr w:rsidR="0020499E">
        <w:trPr>
          <w:jc w:val="center"/>
        </w:trPr>
        <w:tc>
          <w:tcPr>
            <w:tcW w:w="1677" w:type="dxa"/>
          </w:tcPr>
          <w:p w:rsidR="0020499E" w:rsidRDefault="008E27E1">
            <w:pPr>
              <w:jc w:val="center"/>
              <w:rPr>
                <w:b/>
                <w:lang w:val="en-US"/>
              </w:rPr>
            </w:pPr>
            <w:r>
              <w:rPr>
                <w:b/>
                <w:lang w:val="en-US"/>
              </w:rPr>
              <w:t>Azerbaijan</w:t>
            </w:r>
          </w:p>
        </w:tc>
        <w:tc>
          <w:tcPr>
            <w:tcW w:w="1550" w:type="dxa"/>
          </w:tcPr>
          <w:p w:rsidR="0020499E" w:rsidRDefault="008E27E1">
            <w:pPr>
              <w:jc w:val="center"/>
              <w:rPr>
                <w:lang w:val="en-US"/>
              </w:rPr>
            </w:pPr>
            <w:r>
              <w:rPr>
                <w:rStyle w:val="Strong"/>
                <w:b w:val="0"/>
                <w:sz w:val="20"/>
                <w:szCs w:val="20"/>
                <w:lang w:val="en-US"/>
              </w:rPr>
              <w:t>85.13</w:t>
            </w:r>
          </w:p>
        </w:tc>
        <w:tc>
          <w:tcPr>
            <w:tcW w:w="850" w:type="dxa"/>
          </w:tcPr>
          <w:p w:rsidR="0020499E" w:rsidRDefault="008E27E1">
            <w:pPr>
              <w:jc w:val="center"/>
              <w:rPr>
                <w:lang w:val="en-US"/>
              </w:rPr>
            </w:pPr>
            <w:r>
              <w:rPr>
                <w:rStyle w:val="Strong"/>
                <w:b w:val="0"/>
                <w:sz w:val="20"/>
                <w:szCs w:val="20"/>
                <w:lang w:val="en-US"/>
              </w:rPr>
              <w:t>69</w:t>
            </w:r>
          </w:p>
        </w:tc>
        <w:tc>
          <w:tcPr>
            <w:tcW w:w="1895" w:type="dxa"/>
          </w:tcPr>
          <w:p w:rsidR="0020499E" w:rsidRDefault="008E27E1">
            <w:pPr>
              <w:jc w:val="center"/>
              <w:rPr>
                <w:lang w:val="en-US"/>
              </w:rPr>
            </w:pPr>
            <w:r>
              <w:rPr>
                <w:rStyle w:val="Strong"/>
                <w:b w:val="0"/>
                <w:sz w:val="20"/>
                <w:szCs w:val="20"/>
                <w:lang w:val="en-US"/>
              </w:rPr>
              <w:t>9.3</w:t>
            </w:r>
          </w:p>
        </w:tc>
        <w:tc>
          <w:tcPr>
            <w:tcW w:w="1025" w:type="dxa"/>
          </w:tcPr>
          <w:p w:rsidR="0020499E" w:rsidRDefault="008E27E1">
            <w:pPr>
              <w:jc w:val="center"/>
              <w:rPr>
                <w:lang w:val="en-US"/>
              </w:rPr>
            </w:pPr>
            <w:r>
              <w:rPr>
                <w:rStyle w:val="Strong"/>
                <w:b w:val="0"/>
                <w:sz w:val="20"/>
                <w:szCs w:val="20"/>
                <w:lang w:val="en-US"/>
              </w:rPr>
              <w:t>90</w:t>
            </w:r>
          </w:p>
        </w:tc>
      </w:tr>
      <w:tr w:rsidR="0020499E">
        <w:trPr>
          <w:jc w:val="center"/>
        </w:trPr>
        <w:tc>
          <w:tcPr>
            <w:tcW w:w="1677" w:type="dxa"/>
          </w:tcPr>
          <w:p w:rsidR="0020499E" w:rsidRDefault="008E27E1">
            <w:pPr>
              <w:jc w:val="center"/>
              <w:rPr>
                <w:b/>
                <w:lang w:val="en-US"/>
              </w:rPr>
            </w:pPr>
            <w:r>
              <w:rPr>
                <w:b/>
                <w:lang w:val="en-US"/>
              </w:rPr>
              <w:t>Belarus</w:t>
            </w:r>
          </w:p>
        </w:tc>
        <w:tc>
          <w:tcPr>
            <w:tcW w:w="1550" w:type="dxa"/>
          </w:tcPr>
          <w:p w:rsidR="0020499E" w:rsidRDefault="008E27E1">
            <w:pPr>
              <w:jc w:val="center"/>
              <w:rPr>
                <w:lang w:val="en-US"/>
              </w:rPr>
            </w:pPr>
            <w:r>
              <w:rPr>
                <w:rStyle w:val="Strong"/>
                <w:b w:val="0"/>
                <w:sz w:val="20"/>
                <w:szCs w:val="20"/>
                <w:lang w:val="en-US"/>
              </w:rPr>
              <w:t>127.18</w:t>
            </w:r>
          </w:p>
        </w:tc>
        <w:tc>
          <w:tcPr>
            <w:tcW w:w="850" w:type="dxa"/>
          </w:tcPr>
          <w:p w:rsidR="0020499E" w:rsidRDefault="008E27E1">
            <w:pPr>
              <w:jc w:val="center"/>
              <w:rPr>
                <w:lang w:val="en-US"/>
              </w:rPr>
            </w:pPr>
            <w:r>
              <w:rPr>
                <w:rStyle w:val="Strong"/>
                <w:b w:val="0"/>
                <w:sz w:val="20"/>
                <w:szCs w:val="20"/>
                <w:lang w:val="en-US"/>
              </w:rPr>
              <w:t>57</w:t>
            </w:r>
          </w:p>
        </w:tc>
        <w:tc>
          <w:tcPr>
            <w:tcW w:w="1895" w:type="dxa"/>
          </w:tcPr>
          <w:p w:rsidR="0020499E" w:rsidRDefault="008E27E1">
            <w:pPr>
              <w:jc w:val="center"/>
              <w:rPr>
                <w:lang w:val="en-US"/>
              </w:rPr>
            </w:pPr>
            <w:r>
              <w:rPr>
                <w:rStyle w:val="Strong"/>
                <w:b w:val="0"/>
                <w:sz w:val="20"/>
                <w:szCs w:val="20"/>
                <w:lang w:val="en-US"/>
              </w:rPr>
              <w:t>9.46</w:t>
            </w:r>
          </w:p>
        </w:tc>
        <w:tc>
          <w:tcPr>
            <w:tcW w:w="1025" w:type="dxa"/>
          </w:tcPr>
          <w:p w:rsidR="0020499E" w:rsidRDefault="008E27E1">
            <w:pPr>
              <w:jc w:val="center"/>
              <w:rPr>
                <w:lang w:val="en-US"/>
              </w:rPr>
            </w:pPr>
            <w:r>
              <w:rPr>
                <w:rStyle w:val="Strong"/>
                <w:b w:val="0"/>
                <w:sz w:val="20"/>
                <w:szCs w:val="20"/>
                <w:lang w:val="en-US"/>
              </w:rPr>
              <w:t>89</w:t>
            </w:r>
          </w:p>
        </w:tc>
      </w:tr>
      <w:tr w:rsidR="0020499E">
        <w:trPr>
          <w:jc w:val="center"/>
        </w:trPr>
        <w:tc>
          <w:tcPr>
            <w:tcW w:w="1677" w:type="dxa"/>
          </w:tcPr>
          <w:p w:rsidR="0020499E" w:rsidRDefault="008E27E1">
            <w:pPr>
              <w:jc w:val="center"/>
              <w:rPr>
                <w:b/>
                <w:lang w:val="en-US"/>
              </w:rPr>
            </w:pPr>
            <w:r>
              <w:rPr>
                <w:b/>
                <w:lang w:val="en-US"/>
              </w:rPr>
              <w:t>Estonia</w:t>
            </w:r>
          </w:p>
        </w:tc>
        <w:tc>
          <w:tcPr>
            <w:tcW w:w="1550" w:type="dxa"/>
          </w:tcPr>
          <w:p w:rsidR="0020499E" w:rsidRDefault="008E27E1">
            <w:pPr>
              <w:jc w:val="center"/>
              <w:rPr>
                <w:lang w:val="en-US"/>
              </w:rPr>
            </w:pPr>
            <w:r>
              <w:rPr>
                <w:rStyle w:val="Strong"/>
                <w:b w:val="0"/>
                <w:sz w:val="20"/>
                <w:szCs w:val="20"/>
                <w:lang w:val="en-US"/>
              </w:rPr>
              <w:t>25.08</w:t>
            </w:r>
          </w:p>
        </w:tc>
        <w:tc>
          <w:tcPr>
            <w:tcW w:w="850" w:type="dxa"/>
          </w:tcPr>
          <w:p w:rsidR="0020499E" w:rsidRDefault="008E27E1">
            <w:pPr>
              <w:jc w:val="center"/>
              <w:rPr>
                <w:lang w:val="en-US"/>
              </w:rPr>
            </w:pPr>
            <w:r>
              <w:rPr>
                <w:rStyle w:val="Strong"/>
                <w:b w:val="0"/>
                <w:sz w:val="20"/>
                <w:szCs w:val="20"/>
                <w:lang w:val="en-US"/>
              </w:rPr>
              <w:t>103</w:t>
            </w:r>
          </w:p>
        </w:tc>
        <w:tc>
          <w:tcPr>
            <w:tcW w:w="1895" w:type="dxa"/>
          </w:tcPr>
          <w:p w:rsidR="0020499E" w:rsidRDefault="008E27E1">
            <w:pPr>
              <w:jc w:val="center"/>
              <w:rPr>
                <w:lang w:val="en-US"/>
              </w:rPr>
            </w:pPr>
            <w:r>
              <w:rPr>
                <w:rStyle w:val="Strong"/>
                <w:b w:val="0"/>
                <w:sz w:val="20"/>
                <w:szCs w:val="20"/>
                <w:lang w:val="en-US"/>
              </w:rPr>
              <w:t>1.34</w:t>
            </w:r>
          </w:p>
        </w:tc>
        <w:tc>
          <w:tcPr>
            <w:tcW w:w="1025" w:type="dxa"/>
          </w:tcPr>
          <w:p w:rsidR="0020499E" w:rsidRDefault="008E27E1">
            <w:pPr>
              <w:jc w:val="center"/>
              <w:rPr>
                <w:lang w:val="en-US"/>
              </w:rPr>
            </w:pPr>
            <w:r>
              <w:rPr>
                <w:rStyle w:val="Strong"/>
                <w:b w:val="0"/>
                <w:sz w:val="20"/>
                <w:szCs w:val="20"/>
                <w:lang w:val="en-US"/>
              </w:rPr>
              <w:t>148</w:t>
            </w:r>
          </w:p>
        </w:tc>
      </w:tr>
    </w:tbl>
    <w:p w:rsidR="0020499E" w:rsidRDefault="0020499E"/>
    <w:p w:rsidR="0020499E" w:rsidRDefault="008E27E1">
      <w:r>
        <w:t xml:space="preserve">The table below shows the total number of patent applications filed in the five countries since 1998. For each country, resident and non-resident applications are distinguished.  </w:t>
      </w:r>
    </w:p>
    <w:p w:rsidR="0020499E" w:rsidRDefault="0020499E"/>
    <w:tbl>
      <w:tblPr>
        <w:tblW w:w="0" w:type="auto"/>
        <w:tblCellSpacing w:w="0" w:type="dxa"/>
        <w:tblCellMar>
          <w:left w:w="0" w:type="dxa"/>
          <w:right w:w="0" w:type="dxa"/>
        </w:tblCellMar>
        <w:tblLook w:val="04A0"/>
      </w:tblPr>
      <w:tblGrid>
        <w:gridCol w:w="9649"/>
      </w:tblGrid>
      <w:tr w:rsidR="0020499E">
        <w:trPr>
          <w:tblCellSpacing w:w="0" w:type="dxa"/>
        </w:trPr>
        <w:tc>
          <w:tcPr>
            <w:tcW w:w="9649" w:type="dxa"/>
            <w:vAlign w:val="center"/>
            <w:hideMark/>
          </w:tcPr>
          <w:p w:rsidR="0020499E" w:rsidRDefault="008E27E1">
            <w:pPr>
              <w:jc w:val="center"/>
              <w:rPr>
                <w:rFonts w:eastAsia="Times New Roman" w:cs="Times New Roman"/>
                <w:b/>
                <w:lang w:eastAsia="fr-FR"/>
              </w:rPr>
            </w:pPr>
            <w:r>
              <w:rPr>
                <w:rFonts w:eastAsia="Times New Roman" w:cs="Times New Roman"/>
                <w:b/>
                <w:lang w:eastAsia="fr-FR"/>
              </w:rPr>
              <w:t xml:space="preserve">Total patent applications </w:t>
            </w:r>
          </w:p>
          <w:p w:rsidR="0020499E" w:rsidRDefault="008E27E1">
            <w:pPr>
              <w:jc w:val="center"/>
              <w:rPr>
                <w:rFonts w:eastAsia="Times New Roman" w:cs="Times New Roman"/>
                <w:b/>
                <w:lang w:eastAsia="fr-FR"/>
              </w:rPr>
            </w:pPr>
            <w:r>
              <w:rPr>
                <w:rFonts w:eastAsia="Times New Roman" w:cs="Times New Roman"/>
                <w:b/>
                <w:lang w:eastAsia="fr-FR"/>
              </w:rPr>
              <w:t>Resident and abroad count by applicant's origin</w:t>
            </w:r>
          </w:p>
          <w:p w:rsidR="0020499E" w:rsidRDefault="0020499E">
            <w:pPr>
              <w:jc w:val="center"/>
              <w:rPr>
                <w:rFonts w:eastAsia="Times New Roman" w:cs="Times New Roman"/>
                <w:b/>
                <w:lang w:eastAsia="fr-FR"/>
              </w:rPr>
            </w:pPr>
          </w:p>
        </w:tc>
      </w:tr>
    </w:tbl>
    <w:p w:rsidR="0020499E" w:rsidRDefault="0020499E">
      <w:pPr>
        <w:jc w:val="center"/>
        <w:rPr>
          <w:rFonts w:eastAsia="Times New Roman" w:cs="Times New Roman"/>
          <w:vanish/>
          <w:lang w:eastAsia="fr-FR"/>
        </w:rPr>
      </w:pPr>
    </w:p>
    <w:tbl>
      <w:tblPr>
        <w:tblW w:w="11018" w:type="dxa"/>
        <w:jc w:val="center"/>
        <w:tblCellSpacing w:w="0" w:type="dxa"/>
        <w:tblInd w:w="-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1155"/>
        <w:gridCol w:w="1276"/>
        <w:gridCol w:w="567"/>
        <w:gridCol w:w="567"/>
        <w:gridCol w:w="567"/>
        <w:gridCol w:w="515"/>
        <w:gridCol w:w="619"/>
        <w:gridCol w:w="567"/>
        <w:gridCol w:w="590"/>
        <w:gridCol w:w="567"/>
        <w:gridCol w:w="567"/>
        <w:gridCol w:w="567"/>
        <w:gridCol w:w="567"/>
        <w:gridCol w:w="567"/>
        <w:gridCol w:w="567"/>
        <w:gridCol w:w="567"/>
        <w:gridCol w:w="626"/>
      </w:tblGrid>
      <w:tr w:rsidR="0020499E">
        <w:trPr>
          <w:tblCellSpacing w:w="0" w:type="dxa"/>
          <w:jc w:val="center"/>
        </w:trPr>
        <w:tc>
          <w:tcPr>
            <w:tcW w:w="2431" w:type="dxa"/>
            <w:gridSpan w:val="2"/>
            <w:tcBorders>
              <w:tl2br w:val="single" w:sz="4" w:space="0" w:color="auto"/>
            </w:tcBorders>
            <w:hideMark/>
          </w:tcPr>
          <w:p w:rsidR="0020499E" w:rsidRDefault="0020499E">
            <w:pPr>
              <w:jc w:val="left"/>
              <w:rPr>
                <w:rFonts w:eastAsia="Times New Roman" w:cs="Times New Roman"/>
                <w:b/>
                <w:sz w:val="18"/>
                <w:szCs w:val="16"/>
                <w:lang w:eastAsia="fr-FR"/>
              </w:rPr>
            </w:pPr>
          </w:p>
          <w:p w:rsidR="0020499E" w:rsidRDefault="008E27E1">
            <w:pPr>
              <w:jc w:val="center"/>
              <w:rPr>
                <w:rFonts w:eastAsia="Times New Roman" w:cs="Times New Roman"/>
                <w:b/>
                <w:sz w:val="18"/>
                <w:szCs w:val="16"/>
                <w:lang w:eastAsia="fr-FR"/>
              </w:rPr>
            </w:pPr>
            <w:r>
              <w:rPr>
                <w:rFonts w:eastAsia="Times New Roman" w:cs="Times New Roman"/>
                <w:b/>
                <w:sz w:val="18"/>
                <w:szCs w:val="16"/>
                <w:lang w:eastAsia="fr-FR"/>
              </w:rPr>
              <w:t xml:space="preserve">                             Year</w:t>
            </w:r>
          </w:p>
          <w:p w:rsidR="0020499E" w:rsidRDefault="008E27E1">
            <w:pPr>
              <w:jc w:val="left"/>
              <w:rPr>
                <w:rFonts w:eastAsia="Times New Roman" w:cs="Times New Roman"/>
                <w:sz w:val="18"/>
                <w:szCs w:val="16"/>
                <w:lang w:eastAsia="fr-FR"/>
              </w:rPr>
            </w:pPr>
            <w:r>
              <w:rPr>
                <w:rFonts w:eastAsia="Times New Roman" w:cs="Times New Roman"/>
                <w:b/>
                <w:sz w:val="18"/>
                <w:szCs w:val="16"/>
                <w:lang w:eastAsia="fr-FR"/>
              </w:rPr>
              <w:t xml:space="preserve">      Origin</w:t>
            </w:r>
          </w:p>
        </w:tc>
        <w:tc>
          <w:tcPr>
            <w:tcW w:w="567" w:type="dxa"/>
            <w:vAlign w:val="center"/>
          </w:tcPr>
          <w:p w:rsidR="0020499E" w:rsidRDefault="008E27E1">
            <w:pPr>
              <w:jc w:val="center"/>
              <w:rPr>
                <w:rFonts w:eastAsia="Times New Roman" w:cs="Times New Roman"/>
                <w:sz w:val="18"/>
                <w:szCs w:val="18"/>
                <w:lang w:eastAsia="fr-FR"/>
              </w:rPr>
            </w:pPr>
            <w:r>
              <w:rPr>
                <w:rFonts w:eastAsia="Times New Roman" w:cs="Times New Roman"/>
                <w:sz w:val="18"/>
                <w:szCs w:val="18"/>
                <w:lang w:eastAsia="fr-FR"/>
              </w:rPr>
              <w:t>1998</w:t>
            </w:r>
          </w:p>
        </w:tc>
        <w:tc>
          <w:tcPr>
            <w:tcW w:w="567" w:type="dxa"/>
            <w:vAlign w:val="center"/>
          </w:tcPr>
          <w:p w:rsidR="0020499E" w:rsidRDefault="008E27E1">
            <w:pPr>
              <w:jc w:val="center"/>
              <w:rPr>
                <w:rFonts w:eastAsia="Times New Roman" w:cs="Times New Roman"/>
                <w:sz w:val="18"/>
                <w:szCs w:val="18"/>
                <w:lang w:eastAsia="fr-FR"/>
              </w:rPr>
            </w:pPr>
            <w:r>
              <w:rPr>
                <w:rFonts w:eastAsia="Times New Roman" w:cs="Times New Roman"/>
                <w:sz w:val="18"/>
                <w:szCs w:val="18"/>
                <w:lang w:eastAsia="fr-FR"/>
              </w:rPr>
              <w:t>1999</w:t>
            </w:r>
          </w:p>
        </w:tc>
        <w:tc>
          <w:tcPr>
            <w:tcW w:w="567" w:type="dxa"/>
            <w:vAlign w:val="center"/>
          </w:tcPr>
          <w:p w:rsidR="0020499E" w:rsidRDefault="008E27E1">
            <w:pPr>
              <w:jc w:val="center"/>
              <w:rPr>
                <w:rFonts w:eastAsia="Times New Roman" w:cs="Times New Roman"/>
                <w:sz w:val="18"/>
                <w:szCs w:val="18"/>
                <w:lang w:eastAsia="fr-FR"/>
              </w:rPr>
            </w:pPr>
            <w:r>
              <w:rPr>
                <w:rFonts w:eastAsia="Times New Roman" w:cs="Times New Roman"/>
                <w:sz w:val="18"/>
                <w:szCs w:val="18"/>
                <w:lang w:eastAsia="fr-FR"/>
              </w:rPr>
              <w:t>2000</w:t>
            </w:r>
          </w:p>
        </w:tc>
        <w:tc>
          <w:tcPr>
            <w:tcW w:w="515" w:type="dxa"/>
            <w:vAlign w:val="center"/>
          </w:tcPr>
          <w:p w:rsidR="0020499E" w:rsidRDefault="008E27E1">
            <w:pPr>
              <w:jc w:val="center"/>
              <w:rPr>
                <w:rFonts w:eastAsia="Times New Roman" w:cs="Times New Roman"/>
                <w:sz w:val="18"/>
                <w:szCs w:val="18"/>
                <w:lang w:eastAsia="fr-FR"/>
              </w:rPr>
            </w:pPr>
            <w:r>
              <w:rPr>
                <w:rFonts w:eastAsia="Times New Roman" w:cs="Times New Roman"/>
                <w:sz w:val="18"/>
                <w:szCs w:val="18"/>
                <w:lang w:eastAsia="fr-FR"/>
              </w:rPr>
              <w:t>2001</w:t>
            </w:r>
          </w:p>
        </w:tc>
        <w:tc>
          <w:tcPr>
            <w:tcW w:w="619" w:type="dxa"/>
            <w:vAlign w:val="center"/>
          </w:tcPr>
          <w:p w:rsidR="0020499E" w:rsidRDefault="008E27E1">
            <w:pPr>
              <w:jc w:val="center"/>
              <w:rPr>
                <w:rFonts w:eastAsia="Times New Roman" w:cs="Times New Roman"/>
                <w:sz w:val="18"/>
                <w:szCs w:val="18"/>
                <w:lang w:eastAsia="fr-FR"/>
              </w:rPr>
            </w:pPr>
            <w:r>
              <w:rPr>
                <w:rFonts w:eastAsia="Times New Roman" w:cs="Times New Roman"/>
                <w:sz w:val="18"/>
                <w:szCs w:val="18"/>
                <w:lang w:eastAsia="fr-FR"/>
              </w:rPr>
              <w:t>2002</w:t>
            </w:r>
          </w:p>
        </w:tc>
        <w:tc>
          <w:tcPr>
            <w:tcW w:w="567" w:type="dxa"/>
            <w:vAlign w:val="center"/>
          </w:tcPr>
          <w:p w:rsidR="0020499E" w:rsidRDefault="008E27E1">
            <w:pPr>
              <w:jc w:val="center"/>
              <w:rPr>
                <w:rFonts w:eastAsia="Times New Roman" w:cs="Times New Roman"/>
                <w:sz w:val="18"/>
                <w:szCs w:val="18"/>
                <w:lang w:eastAsia="fr-FR"/>
              </w:rPr>
            </w:pPr>
            <w:r>
              <w:rPr>
                <w:rFonts w:eastAsia="Times New Roman" w:cs="Times New Roman"/>
                <w:sz w:val="18"/>
                <w:szCs w:val="18"/>
                <w:lang w:eastAsia="fr-FR"/>
              </w:rPr>
              <w:t>2003</w:t>
            </w:r>
          </w:p>
        </w:tc>
        <w:tc>
          <w:tcPr>
            <w:tcW w:w="590" w:type="dxa"/>
            <w:vAlign w:val="center"/>
          </w:tcPr>
          <w:p w:rsidR="0020499E" w:rsidRDefault="008E27E1">
            <w:pPr>
              <w:jc w:val="center"/>
              <w:rPr>
                <w:rFonts w:eastAsia="Times New Roman" w:cs="Times New Roman"/>
                <w:sz w:val="18"/>
                <w:szCs w:val="18"/>
                <w:lang w:eastAsia="fr-FR"/>
              </w:rPr>
            </w:pPr>
            <w:r>
              <w:rPr>
                <w:rFonts w:eastAsia="Times New Roman" w:cs="Times New Roman"/>
                <w:sz w:val="18"/>
                <w:szCs w:val="18"/>
                <w:lang w:eastAsia="fr-FR"/>
              </w:rPr>
              <w:t>2004</w:t>
            </w:r>
          </w:p>
        </w:tc>
        <w:tc>
          <w:tcPr>
            <w:tcW w:w="567" w:type="dxa"/>
            <w:vAlign w:val="center"/>
            <w:hideMark/>
          </w:tcPr>
          <w:p w:rsidR="0020499E" w:rsidRDefault="008E27E1">
            <w:pPr>
              <w:jc w:val="center"/>
              <w:rPr>
                <w:rFonts w:eastAsia="Times New Roman" w:cs="Times New Roman"/>
                <w:sz w:val="18"/>
                <w:szCs w:val="18"/>
                <w:lang w:eastAsia="fr-FR"/>
              </w:rPr>
            </w:pPr>
            <w:r>
              <w:rPr>
                <w:rFonts w:eastAsia="Times New Roman" w:cs="Times New Roman"/>
                <w:sz w:val="18"/>
                <w:szCs w:val="18"/>
                <w:lang w:eastAsia="fr-FR"/>
              </w:rPr>
              <w:t>2005</w:t>
            </w:r>
          </w:p>
        </w:tc>
        <w:tc>
          <w:tcPr>
            <w:tcW w:w="567" w:type="dxa"/>
            <w:vAlign w:val="center"/>
          </w:tcPr>
          <w:p w:rsidR="0020499E" w:rsidRDefault="008E27E1">
            <w:pPr>
              <w:jc w:val="center"/>
              <w:rPr>
                <w:rFonts w:eastAsia="Times New Roman" w:cs="Times New Roman"/>
                <w:sz w:val="18"/>
                <w:szCs w:val="18"/>
                <w:lang w:eastAsia="fr-FR"/>
              </w:rPr>
            </w:pPr>
            <w:r>
              <w:rPr>
                <w:rFonts w:eastAsia="Times New Roman" w:cs="Times New Roman"/>
                <w:sz w:val="18"/>
                <w:szCs w:val="18"/>
                <w:lang w:eastAsia="fr-FR"/>
              </w:rPr>
              <w:t>2006</w:t>
            </w:r>
          </w:p>
        </w:tc>
        <w:tc>
          <w:tcPr>
            <w:tcW w:w="567" w:type="dxa"/>
            <w:vAlign w:val="center"/>
          </w:tcPr>
          <w:p w:rsidR="0020499E" w:rsidRDefault="008E27E1">
            <w:pPr>
              <w:jc w:val="center"/>
              <w:rPr>
                <w:rFonts w:eastAsia="Times New Roman" w:cs="Times New Roman"/>
                <w:sz w:val="18"/>
                <w:szCs w:val="18"/>
                <w:lang w:eastAsia="fr-FR"/>
              </w:rPr>
            </w:pPr>
            <w:r>
              <w:rPr>
                <w:rFonts w:eastAsia="Times New Roman" w:cs="Times New Roman"/>
                <w:sz w:val="18"/>
                <w:szCs w:val="18"/>
                <w:lang w:eastAsia="fr-FR"/>
              </w:rPr>
              <w:t>2007</w:t>
            </w:r>
          </w:p>
        </w:tc>
        <w:tc>
          <w:tcPr>
            <w:tcW w:w="567" w:type="dxa"/>
            <w:vAlign w:val="center"/>
          </w:tcPr>
          <w:p w:rsidR="0020499E" w:rsidRDefault="008E27E1">
            <w:pPr>
              <w:jc w:val="center"/>
              <w:rPr>
                <w:rFonts w:eastAsia="Times New Roman" w:cs="Times New Roman"/>
                <w:sz w:val="18"/>
                <w:szCs w:val="18"/>
                <w:lang w:eastAsia="fr-FR"/>
              </w:rPr>
            </w:pPr>
            <w:r>
              <w:rPr>
                <w:rFonts w:eastAsia="Times New Roman" w:cs="Times New Roman"/>
                <w:sz w:val="18"/>
                <w:szCs w:val="18"/>
                <w:lang w:eastAsia="fr-FR"/>
              </w:rPr>
              <w:t>2008</w:t>
            </w:r>
          </w:p>
        </w:tc>
        <w:tc>
          <w:tcPr>
            <w:tcW w:w="567" w:type="dxa"/>
            <w:vAlign w:val="center"/>
          </w:tcPr>
          <w:p w:rsidR="0020499E" w:rsidRDefault="008E27E1">
            <w:pPr>
              <w:jc w:val="center"/>
              <w:rPr>
                <w:rFonts w:eastAsia="Times New Roman" w:cs="Times New Roman"/>
                <w:sz w:val="18"/>
                <w:szCs w:val="18"/>
                <w:lang w:eastAsia="fr-FR"/>
              </w:rPr>
            </w:pPr>
            <w:r>
              <w:rPr>
                <w:rFonts w:eastAsia="Times New Roman" w:cs="Times New Roman"/>
                <w:sz w:val="18"/>
                <w:szCs w:val="18"/>
                <w:lang w:eastAsia="fr-FR"/>
              </w:rPr>
              <w:t>2009</w:t>
            </w:r>
          </w:p>
        </w:tc>
        <w:tc>
          <w:tcPr>
            <w:tcW w:w="567" w:type="dxa"/>
            <w:vAlign w:val="center"/>
          </w:tcPr>
          <w:p w:rsidR="0020499E" w:rsidRDefault="008E27E1">
            <w:pPr>
              <w:jc w:val="center"/>
              <w:rPr>
                <w:rFonts w:eastAsia="Times New Roman" w:cs="Times New Roman"/>
                <w:sz w:val="18"/>
                <w:szCs w:val="18"/>
                <w:lang w:eastAsia="fr-FR"/>
              </w:rPr>
            </w:pPr>
            <w:r>
              <w:rPr>
                <w:rFonts w:eastAsia="Times New Roman" w:cs="Times New Roman"/>
                <w:sz w:val="18"/>
                <w:szCs w:val="18"/>
                <w:lang w:eastAsia="fr-FR"/>
              </w:rPr>
              <w:t>2010</w:t>
            </w:r>
          </w:p>
        </w:tc>
        <w:tc>
          <w:tcPr>
            <w:tcW w:w="567" w:type="dxa"/>
            <w:vAlign w:val="center"/>
          </w:tcPr>
          <w:p w:rsidR="0020499E" w:rsidRDefault="008E27E1">
            <w:pPr>
              <w:jc w:val="center"/>
              <w:rPr>
                <w:rFonts w:eastAsia="Times New Roman" w:cs="Times New Roman"/>
                <w:sz w:val="18"/>
                <w:szCs w:val="18"/>
                <w:lang w:eastAsia="fr-FR"/>
              </w:rPr>
            </w:pPr>
            <w:r>
              <w:rPr>
                <w:rFonts w:eastAsia="Times New Roman" w:cs="Times New Roman"/>
                <w:sz w:val="18"/>
                <w:szCs w:val="18"/>
                <w:lang w:eastAsia="fr-FR"/>
              </w:rPr>
              <w:t>2011</w:t>
            </w:r>
          </w:p>
        </w:tc>
        <w:tc>
          <w:tcPr>
            <w:tcW w:w="626" w:type="dxa"/>
            <w:vAlign w:val="center"/>
          </w:tcPr>
          <w:p w:rsidR="0020499E" w:rsidRDefault="008E27E1">
            <w:pPr>
              <w:jc w:val="center"/>
              <w:rPr>
                <w:rFonts w:eastAsia="Times New Roman" w:cs="Times New Roman"/>
                <w:sz w:val="18"/>
                <w:szCs w:val="18"/>
                <w:lang w:eastAsia="fr-FR"/>
              </w:rPr>
            </w:pPr>
            <w:r>
              <w:rPr>
                <w:rFonts w:eastAsia="Times New Roman" w:cs="Times New Roman"/>
                <w:sz w:val="18"/>
                <w:szCs w:val="18"/>
                <w:lang w:eastAsia="fr-FR"/>
              </w:rPr>
              <w:t>2012</w:t>
            </w:r>
          </w:p>
        </w:tc>
      </w:tr>
      <w:tr w:rsidR="0020499E">
        <w:trPr>
          <w:trHeight w:val="255"/>
          <w:tblCellSpacing w:w="0" w:type="dxa"/>
          <w:jc w:val="center"/>
        </w:trPr>
        <w:tc>
          <w:tcPr>
            <w:tcW w:w="1155" w:type="dxa"/>
            <w:vMerge w:val="restart"/>
            <w:vAlign w:val="center"/>
            <w:hideMark/>
          </w:tcPr>
          <w:p w:rsidR="0020499E" w:rsidRDefault="008E27E1">
            <w:pPr>
              <w:jc w:val="center"/>
              <w:rPr>
                <w:rFonts w:eastAsia="Times New Roman" w:cs="Times New Roman"/>
                <w:b/>
                <w:sz w:val="18"/>
                <w:szCs w:val="16"/>
                <w:lang w:eastAsia="fr-FR"/>
              </w:rPr>
            </w:pPr>
            <w:r>
              <w:rPr>
                <w:rFonts w:eastAsia="Times New Roman" w:cs="Times New Roman"/>
                <w:b/>
                <w:sz w:val="18"/>
                <w:szCs w:val="16"/>
                <w:lang w:eastAsia="fr-FR"/>
              </w:rPr>
              <w:t>Armenia</w:t>
            </w:r>
          </w:p>
        </w:tc>
        <w:tc>
          <w:tcPr>
            <w:tcW w:w="1276" w:type="dxa"/>
            <w:vAlign w:val="center"/>
            <w:hideMark/>
          </w:tcPr>
          <w:p w:rsidR="0020499E" w:rsidRDefault="008E27E1">
            <w:pPr>
              <w:rPr>
                <w:rFonts w:eastAsia="Times New Roman" w:cs="Times New Roman"/>
                <w:sz w:val="18"/>
                <w:szCs w:val="16"/>
                <w:lang w:eastAsia="fr-FR"/>
              </w:rPr>
            </w:pPr>
            <w:r>
              <w:rPr>
                <w:rFonts w:eastAsia="Times New Roman" w:cs="Times New Roman"/>
                <w:sz w:val="18"/>
                <w:szCs w:val="16"/>
                <w:lang w:eastAsia="fr-FR"/>
              </w:rPr>
              <w:t>Resident</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75</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109</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119</w:t>
            </w:r>
          </w:p>
        </w:tc>
        <w:tc>
          <w:tcPr>
            <w:tcW w:w="515"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140</w:t>
            </w:r>
          </w:p>
        </w:tc>
        <w:tc>
          <w:tcPr>
            <w:tcW w:w="619"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200</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151</w:t>
            </w:r>
          </w:p>
        </w:tc>
        <w:tc>
          <w:tcPr>
            <w:tcW w:w="590" w:type="dxa"/>
            <w:vAlign w:val="center"/>
          </w:tcPr>
          <w:p w:rsidR="0020499E" w:rsidRDefault="0020499E">
            <w:pPr>
              <w:autoSpaceDE/>
              <w:autoSpaceDN/>
              <w:adjustRightInd/>
              <w:jc w:val="center"/>
              <w:rPr>
                <w:rFonts w:eastAsia="Times New Roman" w:cs="Times New Roman"/>
                <w:sz w:val="18"/>
                <w:szCs w:val="18"/>
                <w:lang w:val="fr-FR" w:eastAsia="fr-FR"/>
              </w:rPr>
            </w:pP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206</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192</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135</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226</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116</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136</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121</w:t>
            </w:r>
          </w:p>
        </w:tc>
        <w:tc>
          <w:tcPr>
            <w:tcW w:w="626"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137</w:t>
            </w:r>
          </w:p>
        </w:tc>
      </w:tr>
      <w:tr w:rsidR="0020499E">
        <w:trPr>
          <w:trHeight w:val="255"/>
          <w:tblCellSpacing w:w="0" w:type="dxa"/>
          <w:jc w:val="center"/>
        </w:trPr>
        <w:tc>
          <w:tcPr>
            <w:tcW w:w="1155" w:type="dxa"/>
            <w:vMerge/>
            <w:vAlign w:val="center"/>
            <w:hideMark/>
          </w:tcPr>
          <w:p w:rsidR="0020499E" w:rsidRDefault="0020499E">
            <w:pPr>
              <w:jc w:val="center"/>
              <w:rPr>
                <w:rFonts w:eastAsia="Times New Roman" w:cs="Times New Roman"/>
                <w:b/>
                <w:sz w:val="18"/>
                <w:szCs w:val="16"/>
                <w:lang w:eastAsia="fr-FR"/>
              </w:rPr>
            </w:pPr>
          </w:p>
        </w:tc>
        <w:tc>
          <w:tcPr>
            <w:tcW w:w="1276" w:type="dxa"/>
            <w:vAlign w:val="center"/>
            <w:hideMark/>
          </w:tcPr>
          <w:p w:rsidR="0020499E" w:rsidRDefault="008E27E1">
            <w:pPr>
              <w:rPr>
                <w:rFonts w:eastAsia="Times New Roman" w:cs="Times New Roman"/>
                <w:sz w:val="18"/>
                <w:szCs w:val="16"/>
                <w:lang w:eastAsia="fr-FR"/>
              </w:rPr>
            </w:pPr>
            <w:r>
              <w:rPr>
                <w:rFonts w:eastAsia="Times New Roman" w:cs="Times New Roman"/>
                <w:sz w:val="18"/>
                <w:szCs w:val="16"/>
                <w:lang w:eastAsia="fr-FR"/>
              </w:rPr>
              <w:t>Non-Resident</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8</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16</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8</w:t>
            </w:r>
          </w:p>
        </w:tc>
        <w:tc>
          <w:tcPr>
            <w:tcW w:w="515"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15</w:t>
            </w:r>
          </w:p>
        </w:tc>
        <w:tc>
          <w:tcPr>
            <w:tcW w:w="619"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7</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6</w:t>
            </w:r>
          </w:p>
        </w:tc>
        <w:tc>
          <w:tcPr>
            <w:tcW w:w="590"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6</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5</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4</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11</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6</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19</w:t>
            </w:r>
          </w:p>
        </w:tc>
        <w:tc>
          <w:tcPr>
            <w:tcW w:w="626"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4</w:t>
            </w:r>
          </w:p>
        </w:tc>
      </w:tr>
      <w:tr w:rsidR="0020499E">
        <w:trPr>
          <w:trHeight w:val="255"/>
          <w:tblCellSpacing w:w="0" w:type="dxa"/>
          <w:jc w:val="center"/>
        </w:trPr>
        <w:tc>
          <w:tcPr>
            <w:tcW w:w="1155" w:type="dxa"/>
            <w:vMerge w:val="restart"/>
            <w:vAlign w:val="center"/>
            <w:hideMark/>
          </w:tcPr>
          <w:p w:rsidR="0020499E" w:rsidRDefault="008E27E1">
            <w:pPr>
              <w:jc w:val="center"/>
              <w:rPr>
                <w:rFonts w:eastAsia="Times New Roman" w:cs="Times New Roman"/>
                <w:b/>
                <w:sz w:val="18"/>
                <w:szCs w:val="16"/>
                <w:lang w:eastAsia="fr-FR"/>
              </w:rPr>
            </w:pPr>
            <w:r>
              <w:rPr>
                <w:rFonts w:eastAsia="Times New Roman" w:cs="Times New Roman"/>
                <w:b/>
                <w:sz w:val="18"/>
                <w:szCs w:val="16"/>
                <w:lang w:eastAsia="fr-FR"/>
              </w:rPr>
              <w:t>Azerbaijan</w:t>
            </w:r>
          </w:p>
        </w:tc>
        <w:tc>
          <w:tcPr>
            <w:tcW w:w="1276" w:type="dxa"/>
            <w:vAlign w:val="center"/>
            <w:hideMark/>
          </w:tcPr>
          <w:p w:rsidR="0020499E" w:rsidRDefault="008E27E1">
            <w:pPr>
              <w:rPr>
                <w:rFonts w:eastAsia="Times New Roman" w:cs="Times New Roman"/>
                <w:sz w:val="18"/>
                <w:szCs w:val="16"/>
                <w:lang w:eastAsia="fr-FR"/>
              </w:rPr>
            </w:pPr>
            <w:r>
              <w:rPr>
                <w:rFonts w:eastAsia="Times New Roman" w:cs="Times New Roman"/>
                <w:sz w:val="18"/>
                <w:szCs w:val="16"/>
                <w:lang w:eastAsia="fr-FR"/>
              </w:rPr>
              <w:t>Resident</w:t>
            </w:r>
          </w:p>
        </w:tc>
        <w:tc>
          <w:tcPr>
            <w:tcW w:w="567" w:type="dxa"/>
            <w:vAlign w:val="center"/>
          </w:tcPr>
          <w:p w:rsidR="0020499E" w:rsidRDefault="0020499E">
            <w:pPr>
              <w:autoSpaceDE/>
              <w:autoSpaceDN/>
              <w:adjustRightInd/>
              <w:jc w:val="center"/>
              <w:rPr>
                <w:rFonts w:eastAsia="Times New Roman" w:cs="Times New Roman"/>
                <w:sz w:val="18"/>
                <w:szCs w:val="18"/>
                <w:lang w:val="fr-FR" w:eastAsia="fr-FR"/>
              </w:rPr>
            </w:pPr>
          </w:p>
        </w:tc>
        <w:tc>
          <w:tcPr>
            <w:tcW w:w="567" w:type="dxa"/>
            <w:vAlign w:val="center"/>
          </w:tcPr>
          <w:p w:rsidR="0020499E" w:rsidRDefault="0020499E">
            <w:pPr>
              <w:autoSpaceDE/>
              <w:autoSpaceDN/>
              <w:adjustRightInd/>
              <w:jc w:val="center"/>
              <w:rPr>
                <w:rFonts w:eastAsia="Times New Roman" w:cs="Times New Roman"/>
                <w:sz w:val="18"/>
                <w:szCs w:val="18"/>
                <w:lang w:val="fr-FR" w:eastAsia="fr-FR"/>
              </w:rPr>
            </w:pPr>
          </w:p>
        </w:tc>
        <w:tc>
          <w:tcPr>
            <w:tcW w:w="567" w:type="dxa"/>
            <w:vAlign w:val="center"/>
          </w:tcPr>
          <w:p w:rsidR="0020499E" w:rsidRDefault="0020499E">
            <w:pPr>
              <w:autoSpaceDE/>
              <w:autoSpaceDN/>
              <w:adjustRightInd/>
              <w:jc w:val="center"/>
              <w:rPr>
                <w:rFonts w:eastAsia="Times New Roman" w:cs="Times New Roman"/>
                <w:sz w:val="18"/>
                <w:szCs w:val="18"/>
                <w:lang w:val="fr-FR" w:eastAsia="fr-FR"/>
              </w:rPr>
            </w:pPr>
          </w:p>
        </w:tc>
        <w:tc>
          <w:tcPr>
            <w:tcW w:w="515"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203</w:t>
            </w:r>
          </w:p>
        </w:tc>
        <w:tc>
          <w:tcPr>
            <w:tcW w:w="619"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234</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246</w:t>
            </w:r>
          </w:p>
        </w:tc>
        <w:tc>
          <w:tcPr>
            <w:tcW w:w="590"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270</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281</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246</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287</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226</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264</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254</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193</w:t>
            </w:r>
          </w:p>
        </w:tc>
        <w:tc>
          <w:tcPr>
            <w:tcW w:w="626"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144</w:t>
            </w:r>
          </w:p>
        </w:tc>
      </w:tr>
      <w:tr w:rsidR="0020499E">
        <w:trPr>
          <w:trHeight w:val="255"/>
          <w:tblCellSpacing w:w="0" w:type="dxa"/>
          <w:jc w:val="center"/>
        </w:trPr>
        <w:tc>
          <w:tcPr>
            <w:tcW w:w="1155" w:type="dxa"/>
            <w:vMerge/>
            <w:vAlign w:val="center"/>
            <w:hideMark/>
          </w:tcPr>
          <w:p w:rsidR="0020499E" w:rsidRDefault="0020499E">
            <w:pPr>
              <w:jc w:val="center"/>
              <w:rPr>
                <w:rFonts w:eastAsia="Times New Roman" w:cs="Times New Roman"/>
                <w:b/>
                <w:sz w:val="18"/>
                <w:szCs w:val="16"/>
                <w:lang w:eastAsia="fr-FR"/>
              </w:rPr>
            </w:pPr>
          </w:p>
        </w:tc>
        <w:tc>
          <w:tcPr>
            <w:tcW w:w="1276" w:type="dxa"/>
            <w:vAlign w:val="center"/>
            <w:hideMark/>
          </w:tcPr>
          <w:p w:rsidR="0020499E" w:rsidRDefault="008E27E1">
            <w:pPr>
              <w:rPr>
                <w:rFonts w:eastAsia="Times New Roman" w:cs="Times New Roman"/>
                <w:sz w:val="18"/>
                <w:szCs w:val="16"/>
                <w:lang w:eastAsia="fr-FR"/>
              </w:rPr>
            </w:pPr>
            <w:r>
              <w:rPr>
                <w:rFonts w:eastAsia="Times New Roman" w:cs="Times New Roman"/>
                <w:sz w:val="18"/>
                <w:szCs w:val="16"/>
                <w:lang w:eastAsia="fr-FR"/>
              </w:rPr>
              <w:t>Non-Resident</w:t>
            </w:r>
          </w:p>
        </w:tc>
        <w:tc>
          <w:tcPr>
            <w:tcW w:w="567" w:type="dxa"/>
            <w:vAlign w:val="center"/>
          </w:tcPr>
          <w:p w:rsidR="0020499E" w:rsidRDefault="0020499E">
            <w:pPr>
              <w:autoSpaceDE/>
              <w:autoSpaceDN/>
              <w:adjustRightInd/>
              <w:jc w:val="center"/>
              <w:rPr>
                <w:rFonts w:eastAsia="Times New Roman" w:cs="Times New Roman"/>
                <w:sz w:val="18"/>
                <w:szCs w:val="18"/>
                <w:lang w:val="fr-FR" w:eastAsia="fr-FR"/>
              </w:rPr>
            </w:pPr>
          </w:p>
        </w:tc>
        <w:tc>
          <w:tcPr>
            <w:tcW w:w="567" w:type="dxa"/>
            <w:vAlign w:val="center"/>
          </w:tcPr>
          <w:p w:rsidR="0020499E" w:rsidRDefault="0020499E">
            <w:pPr>
              <w:autoSpaceDE/>
              <w:autoSpaceDN/>
              <w:adjustRightInd/>
              <w:jc w:val="center"/>
              <w:rPr>
                <w:rFonts w:eastAsia="Times New Roman" w:cs="Times New Roman"/>
                <w:sz w:val="18"/>
                <w:szCs w:val="18"/>
                <w:lang w:val="fr-FR" w:eastAsia="fr-FR"/>
              </w:rPr>
            </w:pPr>
          </w:p>
        </w:tc>
        <w:tc>
          <w:tcPr>
            <w:tcW w:w="567" w:type="dxa"/>
            <w:vAlign w:val="center"/>
          </w:tcPr>
          <w:p w:rsidR="0020499E" w:rsidRDefault="0020499E">
            <w:pPr>
              <w:autoSpaceDE/>
              <w:autoSpaceDN/>
              <w:adjustRightInd/>
              <w:jc w:val="center"/>
              <w:rPr>
                <w:rFonts w:eastAsia="Times New Roman" w:cs="Times New Roman"/>
                <w:sz w:val="18"/>
                <w:szCs w:val="18"/>
                <w:lang w:val="fr-FR" w:eastAsia="fr-FR"/>
              </w:rPr>
            </w:pPr>
          </w:p>
        </w:tc>
        <w:tc>
          <w:tcPr>
            <w:tcW w:w="515"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10</w:t>
            </w:r>
          </w:p>
        </w:tc>
        <w:tc>
          <w:tcPr>
            <w:tcW w:w="619"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7</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18</w:t>
            </w:r>
          </w:p>
        </w:tc>
        <w:tc>
          <w:tcPr>
            <w:tcW w:w="590"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7</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6</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13</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8</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7</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17</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17</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12</w:t>
            </w:r>
          </w:p>
        </w:tc>
        <w:tc>
          <w:tcPr>
            <w:tcW w:w="626" w:type="dxa"/>
            <w:vAlign w:val="center"/>
          </w:tcPr>
          <w:p w:rsidR="0020499E" w:rsidRDefault="0020499E">
            <w:pPr>
              <w:autoSpaceDE/>
              <w:autoSpaceDN/>
              <w:adjustRightInd/>
              <w:jc w:val="center"/>
              <w:rPr>
                <w:rFonts w:eastAsia="Times New Roman" w:cs="Times New Roman"/>
                <w:sz w:val="18"/>
                <w:szCs w:val="18"/>
                <w:lang w:val="fr-FR" w:eastAsia="fr-FR"/>
              </w:rPr>
            </w:pPr>
          </w:p>
        </w:tc>
      </w:tr>
      <w:tr w:rsidR="0020499E">
        <w:trPr>
          <w:trHeight w:val="255"/>
          <w:tblCellSpacing w:w="0" w:type="dxa"/>
          <w:jc w:val="center"/>
        </w:trPr>
        <w:tc>
          <w:tcPr>
            <w:tcW w:w="1155" w:type="dxa"/>
            <w:vMerge w:val="restart"/>
            <w:vAlign w:val="center"/>
            <w:hideMark/>
          </w:tcPr>
          <w:p w:rsidR="0020499E" w:rsidRDefault="008E27E1">
            <w:pPr>
              <w:jc w:val="center"/>
              <w:rPr>
                <w:rFonts w:eastAsia="Times New Roman" w:cs="Times New Roman"/>
                <w:b/>
                <w:sz w:val="18"/>
                <w:szCs w:val="16"/>
                <w:lang w:eastAsia="fr-FR"/>
              </w:rPr>
            </w:pPr>
            <w:r>
              <w:rPr>
                <w:rFonts w:eastAsia="Times New Roman" w:cs="Times New Roman"/>
                <w:b/>
                <w:sz w:val="18"/>
                <w:szCs w:val="16"/>
                <w:lang w:eastAsia="fr-FR"/>
              </w:rPr>
              <w:t>Belarus</w:t>
            </w:r>
          </w:p>
        </w:tc>
        <w:tc>
          <w:tcPr>
            <w:tcW w:w="1276" w:type="dxa"/>
            <w:vAlign w:val="center"/>
            <w:hideMark/>
          </w:tcPr>
          <w:p w:rsidR="0020499E" w:rsidRDefault="008E27E1">
            <w:pPr>
              <w:rPr>
                <w:rFonts w:eastAsia="Times New Roman" w:cs="Times New Roman"/>
                <w:sz w:val="18"/>
                <w:szCs w:val="16"/>
                <w:lang w:eastAsia="fr-FR"/>
              </w:rPr>
            </w:pPr>
            <w:r>
              <w:rPr>
                <w:rFonts w:eastAsia="Times New Roman" w:cs="Times New Roman"/>
                <w:sz w:val="18"/>
                <w:szCs w:val="16"/>
                <w:lang w:eastAsia="fr-FR"/>
              </w:rPr>
              <w:t>Resident</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910</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993</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994</w:t>
            </w:r>
          </w:p>
        </w:tc>
        <w:tc>
          <w:tcPr>
            <w:tcW w:w="515"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930</w:t>
            </w:r>
          </w:p>
        </w:tc>
        <w:tc>
          <w:tcPr>
            <w:tcW w:w="619"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895</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1082</w:t>
            </w:r>
          </w:p>
        </w:tc>
        <w:tc>
          <w:tcPr>
            <w:tcW w:w="590"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1065</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1166</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1188</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1405</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1510</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1753</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1759</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1725</w:t>
            </w:r>
          </w:p>
        </w:tc>
        <w:tc>
          <w:tcPr>
            <w:tcW w:w="626"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1681</w:t>
            </w:r>
          </w:p>
        </w:tc>
      </w:tr>
      <w:tr w:rsidR="0020499E">
        <w:trPr>
          <w:trHeight w:val="255"/>
          <w:tblCellSpacing w:w="0" w:type="dxa"/>
          <w:jc w:val="center"/>
        </w:trPr>
        <w:tc>
          <w:tcPr>
            <w:tcW w:w="1155" w:type="dxa"/>
            <w:vMerge/>
            <w:vAlign w:val="center"/>
            <w:hideMark/>
          </w:tcPr>
          <w:p w:rsidR="0020499E" w:rsidRDefault="0020499E">
            <w:pPr>
              <w:jc w:val="center"/>
              <w:rPr>
                <w:rFonts w:eastAsia="Times New Roman" w:cs="Times New Roman"/>
                <w:b/>
                <w:sz w:val="18"/>
                <w:szCs w:val="16"/>
                <w:lang w:eastAsia="fr-FR"/>
              </w:rPr>
            </w:pPr>
          </w:p>
        </w:tc>
        <w:tc>
          <w:tcPr>
            <w:tcW w:w="1276" w:type="dxa"/>
            <w:vAlign w:val="center"/>
            <w:hideMark/>
          </w:tcPr>
          <w:p w:rsidR="0020499E" w:rsidRDefault="008E27E1">
            <w:pPr>
              <w:rPr>
                <w:rFonts w:eastAsia="Times New Roman" w:cs="Times New Roman"/>
                <w:sz w:val="18"/>
                <w:szCs w:val="16"/>
                <w:lang w:eastAsia="fr-FR"/>
              </w:rPr>
            </w:pPr>
            <w:r>
              <w:rPr>
                <w:rFonts w:eastAsia="Times New Roman" w:cs="Times New Roman"/>
                <w:sz w:val="18"/>
                <w:szCs w:val="16"/>
                <w:lang w:eastAsia="fr-FR"/>
              </w:rPr>
              <w:t>Non-Resident</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79</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345</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204</w:t>
            </w:r>
          </w:p>
        </w:tc>
        <w:tc>
          <w:tcPr>
            <w:tcW w:w="515"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214</w:t>
            </w:r>
          </w:p>
        </w:tc>
        <w:tc>
          <w:tcPr>
            <w:tcW w:w="619"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379</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298</w:t>
            </w:r>
          </w:p>
        </w:tc>
        <w:tc>
          <w:tcPr>
            <w:tcW w:w="590"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200</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296</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337</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257</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220</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173</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174</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146</w:t>
            </w:r>
          </w:p>
        </w:tc>
        <w:tc>
          <w:tcPr>
            <w:tcW w:w="626"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190</w:t>
            </w:r>
          </w:p>
        </w:tc>
      </w:tr>
      <w:tr w:rsidR="0020499E">
        <w:trPr>
          <w:trHeight w:val="255"/>
          <w:tblCellSpacing w:w="0" w:type="dxa"/>
          <w:jc w:val="center"/>
        </w:trPr>
        <w:tc>
          <w:tcPr>
            <w:tcW w:w="1155" w:type="dxa"/>
            <w:vMerge w:val="restart"/>
            <w:vAlign w:val="center"/>
            <w:hideMark/>
          </w:tcPr>
          <w:p w:rsidR="0020499E" w:rsidRDefault="008E27E1">
            <w:pPr>
              <w:jc w:val="center"/>
              <w:rPr>
                <w:rFonts w:eastAsia="Times New Roman" w:cs="Times New Roman"/>
                <w:b/>
                <w:sz w:val="18"/>
                <w:szCs w:val="16"/>
                <w:lang w:eastAsia="fr-FR"/>
              </w:rPr>
            </w:pPr>
            <w:r>
              <w:rPr>
                <w:rFonts w:eastAsia="Times New Roman" w:cs="Times New Roman"/>
                <w:b/>
                <w:sz w:val="18"/>
                <w:szCs w:val="16"/>
                <w:lang w:eastAsia="fr-FR"/>
              </w:rPr>
              <w:t>Estonia</w:t>
            </w:r>
          </w:p>
        </w:tc>
        <w:tc>
          <w:tcPr>
            <w:tcW w:w="1276" w:type="dxa"/>
            <w:vAlign w:val="center"/>
            <w:hideMark/>
          </w:tcPr>
          <w:p w:rsidR="0020499E" w:rsidRDefault="008E27E1">
            <w:pPr>
              <w:rPr>
                <w:rFonts w:eastAsia="Times New Roman" w:cs="Times New Roman"/>
                <w:sz w:val="18"/>
                <w:szCs w:val="16"/>
                <w:lang w:eastAsia="fr-FR"/>
              </w:rPr>
            </w:pPr>
            <w:r>
              <w:rPr>
                <w:rFonts w:eastAsia="Times New Roman" w:cs="Times New Roman"/>
                <w:sz w:val="18"/>
                <w:szCs w:val="16"/>
                <w:lang w:eastAsia="fr-FR"/>
              </w:rPr>
              <w:t>Resident</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20</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13</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13</w:t>
            </w:r>
          </w:p>
        </w:tc>
        <w:tc>
          <w:tcPr>
            <w:tcW w:w="515"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18</w:t>
            </w:r>
          </w:p>
        </w:tc>
        <w:tc>
          <w:tcPr>
            <w:tcW w:w="619"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19</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18</w:t>
            </w:r>
          </w:p>
        </w:tc>
        <w:tc>
          <w:tcPr>
            <w:tcW w:w="590"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27</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23</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36</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44</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62</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76</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84</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62</w:t>
            </w:r>
          </w:p>
        </w:tc>
        <w:tc>
          <w:tcPr>
            <w:tcW w:w="626"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20</w:t>
            </w:r>
          </w:p>
        </w:tc>
      </w:tr>
      <w:tr w:rsidR="0020499E">
        <w:trPr>
          <w:trHeight w:val="255"/>
          <w:tblCellSpacing w:w="0" w:type="dxa"/>
          <w:jc w:val="center"/>
        </w:trPr>
        <w:tc>
          <w:tcPr>
            <w:tcW w:w="1155" w:type="dxa"/>
            <w:vMerge/>
            <w:vAlign w:val="center"/>
            <w:hideMark/>
          </w:tcPr>
          <w:p w:rsidR="0020499E" w:rsidRDefault="0020499E">
            <w:pPr>
              <w:jc w:val="center"/>
              <w:rPr>
                <w:rFonts w:eastAsia="Times New Roman" w:cs="Times New Roman"/>
                <w:b/>
                <w:sz w:val="18"/>
                <w:szCs w:val="16"/>
                <w:lang w:eastAsia="fr-FR"/>
              </w:rPr>
            </w:pPr>
          </w:p>
        </w:tc>
        <w:tc>
          <w:tcPr>
            <w:tcW w:w="1276" w:type="dxa"/>
            <w:vAlign w:val="center"/>
            <w:hideMark/>
          </w:tcPr>
          <w:p w:rsidR="0020499E" w:rsidRDefault="008E27E1">
            <w:pPr>
              <w:rPr>
                <w:rFonts w:eastAsia="Times New Roman" w:cs="Times New Roman"/>
                <w:sz w:val="18"/>
                <w:szCs w:val="16"/>
                <w:lang w:eastAsia="fr-FR"/>
              </w:rPr>
            </w:pPr>
            <w:r>
              <w:rPr>
                <w:rFonts w:eastAsia="Times New Roman" w:cs="Times New Roman"/>
                <w:sz w:val="18"/>
                <w:szCs w:val="16"/>
                <w:lang w:eastAsia="fr-FR"/>
              </w:rPr>
              <w:t>Non-Resident</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443</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604</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791</w:t>
            </w:r>
          </w:p>
        </w:tc>
        <w:tc>
          <w:tcPr>
            <w:tcW w:w="515"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699</w:t>
            </w:r>
          </w:p>
        </w:tc>
        <w:tc>
          <w:tcPr>
            <w:tcW w:w="619"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700</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584</w:t>
            </w:r>
          </w:p>
        </w:tc>
        <w:tc>
          <w:tcPr>
            <w:tcW w:w="590"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97</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15</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9</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19</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10</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20</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13</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15</w:t>
            </w:r>
          </w:p>
        </w:tc>
        <w:tc>
          <w:tcPr>
            <w:tcW w:w="626"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5</w:t>
            </w:r>
          </w:p>
        </w:tc>
      </w:tr>
      <w:tr w:rsidR="0020499E">
        <w:trPr>
          <w:trHeight w:val="255"/>
          <w:tblCellSpacing w:w="0" w:type="dxa"/>
          <w:jc w:val="center"/>
        </w:trPr>
        <w:tc>
          <w:tcPr>
            <w:tcW w:w="1155" w:type="dxa"/>
            <w:vMerge w:val="restart"/>
            <w:vAlign w:val="center"/>
            <w:hideMark/>
          </w:tcPr>
          <w:p w:rsidR="0020499E" w:rsidRDefault="008E27E1">
            <w:pPr>
              <w:jc w:val="center"/>
              <w:rPr>
                <w:rFonts w:eastAsia="Times New Roman" w:cs="Times New Roman"/>
                <w:b/>
                <w:sz w:val="18"/>
                <w:szCs w:val="16"/>
                <w:lang w:eastAsia="fr-FR"/>
              </w:rPr>
            </w:pPr>
            <w:r>
              <w:rPr>
                <w:rFonts w:eastAsia="Times New Roman" w:cs="Times New Roman"/>
                <w:b/>
                <w:sz w:val="18"/>
                <w:szCs w:val="16"/>
                <w:lang w:eastAsia="fr-FR"/>
              </w:rPr>
              <w:t>Georgia</w:t>
            </w:r>
          </w:p>
        </w:tc>
        <w:tc>
          <w:tcPr>
            <w:tcW w:w="1276" w:type="dxa"/>
            <w:vAlign w:val="center"/>
            <w:hideMark/>
          </w:tcPr>
          <w:p w:rsidR="0020499E" w:rsidRDefault="008E27E1">
            <w:pPr>
              <w:rPr>
                <w:rFonts w:eastAsia="Times New Roman" w:cs="Times New Roman"/>
                <w:sz w:val="18"/>
                <w:szCs w:val="16"/>
                <w:lang w:eastAsia="fr-FR"/>
              </w:rPr>
            </w:pPr>
            <w:r>
              <w:rPr>
                <w:rFonts w:eastAsia="Times New Roman" w:cs="Times New Roman"/>
                <w:sz w:val="18"/>
                <w:szCs w:val="16"/>
                <w:lang w:eastAsia="fr-FR"/>
              </w:rPr>
              <w:t>Resident</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277</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265</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232</w:t>
            </w:r>
          </w:p>
        </w:tc>
        <w:tc>
          <w:tcPr>
            <w:tcW w:w="515"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254</w:t>
            </w:r>
          </w:p>
        </w:tc>
        <w:tc>
          <w:tcPr>
            <w:tcW w:w="619"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194</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195</w:t>
            </w:r>
          </w:p>
        </w:tc>
        <w:tc>
          <w:tcPr>
            <w:tcW w:w="590"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249</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225</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236</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248</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222</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256</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183</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138</w:t>
            </w:r>
          </w:p>
        </w:tc>
        <w:tc>
          <w:tcPr>
            <w:tcW w:w="626"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139</w:t>
            </w:r>
          </w:p>
        </w:tc>
      </w:tr>
      <w:tr w:rsidR="0020499E">
        <w:trPr>
          <w:trHeight w:val="255"/>
          <w:tblCellSpacing w:w="0" w:type="dxa"/>
          <w:jc w:val="center"/>
        </w:trPr>
        <w:tc>
          <w:tcPr>
            <w:tcW w:w="1155" w:type="dxa"/>
            <w:vMerge/>
            <w:vAlign w:val="center"/>
            <w:hideMark/>
          </w:tcPr>
          <w:p w:rsidR="0020499E" w:rsidRDefault="0020499E">
            <w:pPr>
              <w:rPr>
                <w:rFonts w:eastAsia="Times New Roman" w:cs="Times New Roman"/>
                <w:sz w:val="18"/>
                <w:szCs w:val="16"/>
                <w:lang w:eastAsia="fr-FR"/>
              </w:rPr>
            </w:pPr>
          </w:p>
        </w:tc>
        <w:tc>
          <w:tcPr>
            <w:tcW w:w="1276" w:type="dxa"/>
            <w:vAlign w:val="center"/>
            <w:hideMark/>
          </w:tcPr>
          <w:p w:rsidR="0020499E" w:rsidRDefault="008E27E1">
            <w:pPr>
              <w:rPr>
                <w:rFonts w:eastAsia="Times New Roman" w:cs="Times New Roman"/>
                <w:sz w:val="18"/>
                <w:szCs w:val="16"/>
                <w:lang w:eastAsia="fr-FR"/>
              </w:rPr>
            </w:pPr>
            <w:r>
              <w:rPr>
                <w:rFonts w:eastAsia="Times New Roman" w:cs="Times New Roman"/>
                <w:sz w:val="18"/>
                <w:szCs w:val="16"/>
                <w:lang w:eastAsia="fr-FR"/>
              </w:rPr>
              <w:t>Non-Resident</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229</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190</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186</w:t>
            </w:r>
          </w:p>
        </w:tc>
        <w:tc>
          <w:tcPr>
            <w:tcW w:w="515"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221</w:t>
            </w:r>
          </w:p>
        </w:tc>
        <w:tc>
          <w:tcPr>
            <w:tcW w:w="619"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204</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171</w:t>
            </w:r>
          </w:p>
        </w:tc>
        <w:tc>
          <w:tcPr>
            <w:tcW w:w="590"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208</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250</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299</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316</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241</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218</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179</w:t>
            </w:r>
          </w:p>
        </w:tc>
        <w:tc>
          <w:tcPr>
            <w:tcW w:w="567"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260</w:t>
            </w:r>
          </w:p>
        </w:tc>
        <w:tc>
          <w:tcPr>
            <w:tcW w:w="626" w:type="dxa"/>
            <w:vAlign w:val="center"/>
          </w:tcPr>
          <w:p w:rsidR="0020499E" w:rsidRDefault="008E27E1">
            <w:pPr>
              <w:autoSpaceDE/>
              <w:autoSpaceDN/>
              <w:adjustRightInd/>
              <w:jc w:val="center"/>
              <w:rPr>
                <w:rFonts w:eastAsia="Times New Roman" w:cs="Times New Roman"/>
                <w:sz w:val="18"/>
                <w:szCs w:val="18"/>
                <w:lang w:val="fr-FR" w:eastAsia="fr-FR"/>
              </w:rPr>
            </w:pPr>
            <w:r>
              <w:rPr>
                <w:rFonts w:eastAsia="Times New Roman" w:cs="Times New Roman"/>
                <w:sz w:val="18"/>
                <w:szCs w:val="18"/>
                <w:lang w:val="fr-FR" w:eastAsia="fr-FR"/>
              </w:rPr>
              <w:t>233</w:t>
            </w:r>
          </w:p>
        </w:tc>
      </w:tr>
    </w:tbl>
    <w:p w:rsidR="0020499E" w:rsidRDefault="008E27E1">
      <w:pPr>
        <w:jc w:val="center"/>
        <w:rPr>
          <w:sz w:val="18"/>
          <w:szCs w:val="18"/>
        </w:rPr>
      </w:pPr>
      <w:r>
        <w:rPr>
          <w:sz w:val="18"/>
          <w:szCs w:val="18"/>
        </w:rPr>
        <w:t>Source: WIPO, 2014</w:t>
      </w:r>
    </w:p>
    <w:p w:rsidR="0020499E" w:rsidRDefault="0020499E">
      <w:pPr>
        <w:autoSpaceDE/>
        <w:autoSpaceDN/>
        <w:adjustRightInd/>
        <w:jc w:val="left"/>
      </w:pPr>
    </w:p>
    <w:p w:rsidR="0020499E" w:rsidRDefault="008E27E1">
      <w:r>
        <w:t>As in bibliometric</w:t>
      </w:r>
      <w:r>
        <w:t xml:space="preserve"> analyses, IP data on small countries must be assessed with caution, because small variations in total IP filings may cause important fluctuations from a year to another. But even over a long period, this table shows that Georgia is the only country where,</w:t>
      </w:r>
      <w:r>
        <w:t xml:space="preserve"> since 2005, the number of resident applications falls below the number of non-resident applications. Comparatively, Armenia does much better in terms of resident applications: in recent years, its ratio per inhabitant is the double of that of Georgia. </w:t>
      </w:r>
    </w:p>
    <w:p w:rsidR="0020499E" w:rsidRDefault="0020499E"/>
    <w:p w:rsidR="0020499E" w:rsidRDefault="008E27E1">
      <w:pPr>
        <w:pStyle w:val="Heading3"/>
      </w:pPr>
      <w:bookmarkStart w:id="23" w:name="_Toc389396910"/>
      <w:r>
        <w:t>2</w:t>
      </w:r>
      <w:r>
        <w:t>.2.2 Comparison with other IP filings and correlation with economic growth</w:t>
      </w:r>
      <w:bookmarkEnd w:id="23"/>
    </w:p>
    <w:p w:rsidR="0020499E" w:rsidRDefault="0020499E"/>
    <w:p w:rsidR="0020499E" w:rsidRDefault="008E27E1">
      <w:r>
        <w:t>Although IP rights cannot be compared from a category to another in quantitative terms (</w:t>
      </w:r>
      <w:r>
        <w:rPr>
          <w:i/>
        </w:rPr>
        <w:t>e.g.</w:t>
      </w:r>
      <w:r>
        <w:t xml:space="preserve"> number of patents filings </w:t>
      </w:r>
      <w:r>
        <w:rPr>
          <w:i/>
        </w:rPr>
        <w:t>versus</w:t>
      </w:r>
      <w:r>
        <w:t xml:space="preserve"> number of trademarks filings), general trends in each </w:t>
      </w:r>
      <w:r>
        <w:t xml:space="preserve">IP category over long periods are indicators of a country’s economic dynamism and are generally be correlated with its growth. </w:t>
      </w:r>
    </w:p>
    <w:p w:rsidR="0020499E" w:rsidRDefault="0020499E"/>
    <w:p w:rsidR="0020499E" w:rsidRDefault="008E27E1">
      <w:r>
        <w:t>The graph below shows these trends in our country sample for the period 1998-2012 with respect to the three main industrial pro</w:t>
      </w:r>
      <w:r>
        <w:t xml:space="preserve">perty rights: Patent, trademark and design.  </w:t>
      </w:r>
    </w:p>
    <w:p w:rsidR="0020499E" w:rsidRDefault="008E27E1">
      <w:pPr>
        <w:jc w:val="center"/>
        <w:rPr>
          <w:b/>
        </w:rPr>
      </w:pPr>
      <w:r>
        <w:rPr>
          <w:b/>
          <w:noProof/>
        </w:rPr>
        <w:lastRenderedPageBreak/>
        <w:drawing>
          <wp:inline distT="0" distB="0" distL="0" distR="0">
            <wp:extent cx="2846717" cy="2853717"/>
            <wp:effectExtent l="0" t="0" r="0" b="3810"/>
            <wp:docPr id="49" name="Image 49" descr="http://www.wipo.int/ipstats/en/statistics/country_profile/countries/graphs/am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wipo.int/ipstats/en/statistics/country_profile/countries/graphs/am1.gif"/>
                    <pic:cNvPicPr>
                      <a:picLocks noChangeAspect="1" noChangeArrowheads="1"/>
                    </pic:cNvPicPr>
                  </pic:nvPicPr>
                  <pic:blipFill>
                    <a:blip r:embed="rId3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2870" cy="2859885"/>
                    </a:xfrm>
                    <a:prstGeom prst="rect">
                      <a:avLst/>
                    </a:prstGeom>
                    <a:noFill/>
                    <a:ln>
                      <a:noFill/>
                    </a:ln>
                  </pic:spPr>
                </pic:pic>
              </a:graphicData>
            </a:graphic>
          </wp:inline>
        </w:drawing>
      </w:r>
      <w:r>
        <w:rPr>
          <w:b/>
          <w:noProof/>
        </w:rPr>
        <w:drawing>
          <wp:inline distT="0" distB="0" distL="0" distR="0">
            <wp:extent cx="2760453" cy="2734574"/>
            <wp:effectExtent l="0" t="0" r="1905" b="8890"/>
            <wp:docPr id="50" name="Image 50" descr="http://www.wipo.int/ipstats/en/statistics/country_profile/countries/graphs/az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wipo.int/ipstats/en/statistics/country_profile/countries/graphs/az1.gif"/>
                    <pic:cNvPicPr>
                      <a:picLocks noChangeAspect="1" noChangeArrowheads="1"/>
                    </pic:cNvPicPr>
                  </pic:nvPicPr>
                  <pic:blipFill>
                    <a:blip r:embed="rId3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76987" cy="2750953"/>
                    </a:xfrm>
                    <a:prstGeom prst="rect">
                      <a:avLst/>
                    </a:prstGeom>
                    <a:noFill/>
                    <a:ln>
                      <a:noFill/>
                    </a:ln>
                  </pic:spPr>
                </pic:pic>
              </a:graphicData>
            </a:graphic>
          </wp:inline>
        </w:drawing>
      </w:r>
    </w:p>
    <w:p w:rsidR="0020499E" w:rsidRDefault="008E27E1">
      <w:pPr>
        <w:jc w:val="center"/>
        <w:rPr>
          <w:b/>
        </w:rPr>
      </w:pPr>
      <w:r>
        <w:rPr>
          <w:b/>
        </w:rPr>
        <w:t>Armenia</w:t>
      </w:r>
      <w:r>
        <w:rPr>
          <w:b/>
        </w:rPr>
        <w:tab/>
      </w:r>
      <w:r>
        <w:rPr>
          <w:b/>
        </w:rPr>
        <w:tab/>
      </w:r>
      <w:r>
        <w:rPr>
          <w:b/>
        </w:rPr>
        <w:tab/>
      </w:r>
      <w:r>
        <w:rPr>
          <w:b/>
        </w:rPr>
        <w:tab/>
      </w:r>
      <w:r>
        <w:rPr>
          <w:b/>
        </w:rPr>
        <w:tab/>
      </w:r>
      <w:r>
        <w:rPr>
          <w:b/>
        </w:rPr>
        <w:tab/>
        <w:t>Azerbaijan</w:t>
      </w:r>
    </w:p>
    <w:p w:rsidR="0020499E" w:rsidRDefault="0020499E">
      <w:pPr>
        <w:jc w:val="center"/>
        <w:rPr>
          <w:b/>
        </w:rPr>
      </w:pPr>
    </w:p>
    <w:p w:rsidR="0020499E" w:rsidRDefault="008E27E1">
      <w:pPr>
        <w:jc w:val="center"/>
      </w:pPr>
      <w:r>
        <w:rPr>
          <w:b/>
          <w:noProof/>
        </w:rPr>
        <w:drawing>
          <wp:inline distT="0" distB="0" distL="0" distR="0">
            <wp:extent cx="2764046" cy="2656936"/>
            <wp:effectExtent l="0" t="0" r="0" b="0"/>
            <wp:docPr id="51" name="Image 51" descr="http://www.wipo.int/ipstats/en/statistics/country_profile/countries/graphs/by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wipo.int/ipstats/en/statistics/country_profile/countries/graphs/by1.gif"/>
                    <pic:cNvPicPr>
                      <a:picLocks noChangeAspect="1" noChangeArrowheads="1"/>
                    </pic:cNvPicPr>
                  </pic:nvPicPr>
                  <pic:blipFill>
                    <a:blip r:embed="rId3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72371" cy="2664938"/>
                    </a:xfrm>
                    <a:prstGeom prst="rect">
                      <a:avLst/>
                    </a:prstGeom>
                    <a:noFill/>
                    <a:ln>
                      <a:noFill/>
                    </a:ln>
                  </pic:spPr>
                </pic:pic>
              </a:graphicData>
            </a:graphic>
          </wp:inline>
        </w:drawing>
      </w:r>
      <w:r>
        <w:rPr>
          <w:noProof/>
        </w:rPr>
        <w:drawing>
          <wp:inline distT="0" distB="0" distL="0" distR="0">
            <wp:extent cx="2786332" cy="2700068"/>
            <wp:effectExtent l="0" t="0" r="0" b="5080"/>
            <wp:docPr id="259" name="Image 259" descr="http://www.wipo.int/ipstats/en/statistics/country_profile/countries/graphs/ee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wipo.int/ipstats/en/statistics/country_profile/countries/graphs/ee1.gif"/>
                    <pic:cNvPicPr>
                      <a:picLocks noChangeAspect="1" noChangeArrowheads="1"/>
                    </pic:cNvPicPr>
                  </pic:nvPicPr>
                  <pic:blipFill>
                    <a:blip r:embed="rId3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90136" cy="2703754"/>
                    </a:xfrm>
                    <a:prstGeom prst="rect">
                      <a:avLst/>
                    </a:prstGeom>
                    <a:noFill/>
                    <a:ln>
                      <a:noFill/>
                    </a:ln>
                  </pic:spPr>
                </pic:pic>
              </a:graphicData>
            </a:graphic>
          </wp:inline>
        </w:drawing>
      </w:r>
    </w:p>
    <w:p w:rsidR="0020499E" w:rsidRDefault="008E27E1">
      <w:pPr>
        <w:ind w:left="1440" w:firstLine="720"/>
        <w:rPr>
          <w:b/>
        </w:rPr>
      </w:pPr>
      <w:r>
        <w:rPr>
          <w:b/>
        </w:rPr>
        <w:t xml:space="preserve">Belarus </w:t>
      </w:r>
      <w:r>
        <w:rPr>
          <w:b/>
        </w:rPr>
        <w:tab/>
      </w:r>
      <w:r>
        <w:rPr>
          <w:b/>
        </w:rPr>
        <w:tab/>
      </w:r>
      <w:r>
        <w:rPr>
          <w:b/>
        </w:rPr>
        <w:tab/>
      </w:r>
      <w:r>
        <w:rPr>
          <w:b/>
        </w:rPr>
        <w:tab/>
      </w:r>
      <w:r>
        <w:rPr>
          <w:b/>
        </w:rPr>
        <w:tab/>
      </w:r>
      <w:r>
        <w:rPr>
          <w:b/>
        </w:rPr>
        <w:tab/>
        <w:t>Estonia</w:t>
      </w:r>
    </w:p>
    <w:p w:rsidR="0020499E" w:rsidRDefault="0020499E"/>
    <w:p w:rsidR="0020499E" w:rsidRDefault="008E27E1">
      <w:r>
        <w:t>Assuming again that fluctuations bring little information in the case of small countries and thus, that only long-term trends are relevant, these graphs sho</w:t>
      </w:r>
      <w:r>
        <w:t>w that growth in filings in the three IP categories is generally correlated with GDP growth - although to a variable extent.</w:t>
      </w:r>
    </w:p>
    <w:p w:rsidR="0020499E" w:rsidRDefault="0020499E"/>
    <w:p w:rsidR="0020499E" w:rsidRDefault="008E27E1">
      <w:r>
        <w:t>In this group of countries, Estonia is arguably the most efficient, since its progression in the three IP categories is much steep</w:t>
      </w:r>
      <w:r>
        <w:t xml:space="preserve">er than the almost flat GDP curve. Nuances are merely a matter of degree, however: overall, the four countries display a similar pattern. </w:t>
      </w:r>
    </w:p>
    <w:p w:rsidR="0020499E" w:rsidRDefault="0020499E"/>
    <w:p w:rsidR="0020499E" w:rsidRDefault="008E27E1">
      <w:r>
        <w:t>Georgia is thus an exception: it is the only country in our sample where total patent filings tend to decrease as GD</w:t>
      </w:r>
      <w:r>
        <w:t xml:space="preserve">P - and total filings other IP categories - tend to increase. </w:t>
      </w:r>
    </w:p>
    <w:p w:rsidR="0020499E" w:rsidRDefault="008E27E1">
      <w:pPr>
        <w:jc w:val="center"/>
        <w:rPr>
          <w:b/>
        </w:rPr>
      </w:pPr>
      <w:r>
        <w:rPr>
          <w:noProof/>
        </w:rPr>
        <w:lastRenderedPageBreak/>
        <w:drawing>
          <wp:inline distT="0" distB="0" distL="0" distR="0">
            <wp:extent cx="3114136" cy="3226993"/>
            <wp:effectExtent l="0" t="0" r="0" b="0"/>
            <wp:docPr id="27" name="Image 27" descr="http://www.wipo.int/ipstats/en/statistics/country_profile/countries/graphs/ge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wipo.int/ipstats/en/statistics/country_profile/countries/graphs/ge1.gif"/>
                    <pic:cNvPicPr>
                      <a:picLocks noChangeAspect="1" noChangeArrowheads="1"/>
                    </pic:cNvPicPr>
                  </pic:nvPicPr>
                  <pic:blipFill>
                    <a:blip r:embed="rId4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20283" cy="3233363"/>
                    </a:xfrm>
                    <a:prstGeom prst="rect">
                      <a:avLst/>
                    </a:prstGeom>
                    <a:noFill/>
                    <a:ln>
                      <a:noFill/>
                    </a:ln>
                  </pic:spPr>
                </pic:pic>
              </a:graphicData>
            </a:graphic>
          </wp:inline>
        </w:drawing>
      </w:r>
    </w:p>
    <w:p w:rsidR="0020499E" w:rsidRDefault="008E27E1">
      <w:pPr>
        <w:jc w:val="center"/>
        <w:rPr>
          <w:b/>
        </w:rPr>
      </w:pPr>
      <w:r>
        <w:rPr>
          <w:b/>
        </w:rPr>
        <w:t xml:space="preserve"> Georgia</w:t>
      </w:r>
    </w:p>
    <w:p w:rsidR="0020499E" w:rsidRDefault="0020499E">
      <w:pPr>
        <w:autoSpaceDE/>
        <w:autoSpaceDN/>
        <w:adjustRightInd/>
        <w:jc w:val="left"/>
      </w:pPr>
    </w:p>
    <w:p w:rsidR="0020499E" w:rsidRDefault="008E27E1">
      <w:r>
        <w:t>Since this trend does not fit in any regional or post-soviet pattern, historical or exogenous causes are unlikely: the decline in patent filings is probably caused by domestic facto</w:t>
      </w:r>
      <w:r>
        <w:t xml:space="preserve">rs, such as the decrease of applied research as a result of its relatively higher cost in a context of scare research funding. </w:t>
      </w:r>
    </w:p>
    <w:p w:rsidR="0020499E" w:rsidRDefault="008E27E1">
      <w:pPr>
        <w:rPr>
          <w:b/>
          <w:sz w:val="32"/>
          <w:szCs w:val="32"/>
        </w:rPr>
      </w:pPr>
      <w:r>
        <w:br w:type="page"/>
      </w:r>
    </w:p>
    <w:p w:rsidR="0020499E" w:rsidRDefault="008E27E1">
      <w:pPr>
        <w:pStyle w:val="Heading1"/>
        <w:numPr>
          <w:ilvl w:val="0"/>
          <w:numId w:val="0"/>
        </w:numPr>
        <w:ind w:left="360" w:hanging="360"/>
      </w:pPr>
      <w:bookmarkStart w:id="24" w:name="_Toc389396911"/>
      <w:r>
        <w:lastRenderedPageBreak/>
        <w:t>3. QUALITATIVE ANALYSIS</w:t>
      </w:r>
      <w:bookmarkEnd w:id="24"/>
    </w:p>
    <w:p w:rsidR="0020499E" w:rsidRDefault="0020499E"/>
    <w:p w:rsidR="0020499E" w:rsidRDefault="008E27E1">
      <w:pPr>
        <w:rPr>
          <w:color w:val="000000" w:themeColor="text1"/>
        </w:rPr>
      </w:pPr>
      <w:r>
        <w:t xml:space="preserve">In addition to </w:t>
      </w:r>
      <w:r>
        <w:rPr>
          <w:color w:val="000000" w:themeColor="text1"/>
        </w:rPr>
        <w:t xml:space="preserve">our quantitative analyses, we conducted a field study and a series of interviews and </w:t>
      </w:r>
      <w:r>
        <w:rPr>
          <w:color w:val="000000" w:themeColor="text1"/>
        </w:rPr>
        <w:t>informal workshops with representatives of the scientific communities and other relevant stakeholders (see Annex 1 for a list of the visited institutions).</w:t>
      </w:r>
    </w:p>
    <w:p w:rsidR="0020499E" w:rsidRDefault="0020499E"/>
    <w:p w:rsidR="0020499E" w:rsidRDefault="008E27E1">
      <w:r>
        <w:t xml:space="preserve">This chapter is divided into two sections. </w:t>
      </w:r>
    </w:p>
    <w:p w:rsidR="0020499E" w:rsidRDefault="0020499E"/>
    <w:p w:rsidR="0020499E" w:rsidRDefault="008E27E1">
      <w:r>
        <w:t>The observations made by our various interlocutors rev</w:t>
      </w:r>
      <w:r>
        <w:t xml:space="preserve">olve around a few central issues, which are presented and commented in a first section. </w:t>
      </w:r>
    </w:p>
    <w:p w:rsidR="0020499E" w:rsidRDefault="0020499E"/>
    <w:p w:rsidR="0020499E" w:rsidRDefault="008E27E1">
      <w:r>
        <w:t xml:space="preserve">Based on our findings, we present in a second section a SWOT that summarizes the present stakes of Georgian research.   </w:t>
      </w:r>
    </w:p>
    <w:p w:rsidR="0020499E" w:rsidRDefault="0020499E"/>
    <w:p w:rsidR="0020499E" w:rsidRDefault="008E27E1">
      <w:pPr>
        <w:pStyle w:val="Heading2"/>
      </w:pPr>
      <w:bookmarkStart w:id="25" w:name="_Toc389396912"/>
      <w:r>
        <w:t>3.1 Field study: summary of main findings</w:t>
      </w:r>
      <w:bookmarkEnd w:id="25"/>
    </w:p>
    <w:p w:rsidR="0020499E" w:rsidRDefault="0020499E"/>
    <w:p w:rsidR="0020499E" w:rsidRDefault="008E27E1">
      <w:pPr>
        <w:pStyle w:val="Heading3"/>
      </w:pPr>
      <w:bookmarkStart w:id="26" w:name="_Toc389396913"/>
      <w:r>
        <w:t>3</w:t>
      </w:r>
      <w:r>
        <w:t>.1.1 Research organization</w:t>
      </w:r>
      <w:bookmarkEnd w:id="26"/>
    </w:p>
    <w:p w:rsidR="0020499E" w:rsidRDefault="0020499E"/>
    <w:p w:rsidR="0020499E" w:rsidRDefault="008E27E1">
      <w:pPr>
        <w:shd w:val="clear" w:color="auto" w:fill="FFFFFF" w:themeFill="background1"/>
      </w:pPr>
      <w:r>
        <w:t>In the research community, the dominant opinion is that the merger of the institutes and the universities was unsuccessful because in practice, the two worlds seldom interact. The situation is compounded by the fact that profess</w:t>
      </w:r>
      <w:r>
        <w:t>ors and researchers have kept a different status with a major salary difference in favor of the former (the ratio is almost 1 to 4, that is, a monthly salary of about 1500 GeL (900 USD) for a professor against 420 (250 USD) for a researcher)</w:t>
      </w:r>
      <w:r>
        <w:rPr>
          <w:rStyle w:val="FootnoteReference"/>
        </w:rPr>
        <w:footnoteReference w:id="3"/>
      </w:r>
      <w:r>
        <w:t xml:space="preserve">. </w:t>
      </w:r>
    </w:p>
    <w:p w:rsidR="0020499E" w:rsidRDefault="0020499E"/>
    <w:p w:rsidR="0020499E" w:rsidRDefault="008E27E1">
      <w:r>
        <w:t xml:space="preserve">There are </w:t>
      </w:r>
      <w:r>
        <w:t xml:space="preserve">some exceptions, however. </w:t>
      </w:r>
    </w:p>
    <w:p w:rsidR="0020499E" w:rsidRDefault="0020499E"/>
    <w:p w:rsidR="0020499E" w:rsidRDefault="008E27E1">
      <w:r>
        <w:t>Some researchers are satisfied with their interaction with their academic counterparts. Although this opinion was never unanimous in any of the institutes we visited - there seems to be variations in sub-fields - it has been exp</w:t>
      </w:r>
      <w:r>
        <w:t>ressed in fields such as medicine, or biotechnology. These researchers explain this positive outcome by the very nature of their respective disciplines, where the divide between professors and researchers is negligible compared to other disciplines. The si</w:t>
      </w:r>
      <w:r>
        <w:t xml:space="preserve">gnificant portion of scientific articles co-written by researchers and professors is an evidence of their active collaboration. </w:t>
      </w:r>
    </w:p>
    <w:p w:rsidR="0020499E" w:rsidRDefault="0020499E"/>
    <w:p w:rsidR="0020499E" w:rsidRDefault="008E27E1">
      <w:r>
        <w:t>Also, some universities have apparently attempted to overcome salary differences by appointing their good researchers as profe</w:t>
      </w:r>
      <w:r>
        <w:t xml:space="preserve">ssor. On the university side, the general opinion is that the “merger problem” is exaggerated – and amplified by those researchers that were not considered good enough to be granted a professor’s position. </w:t>
      </w:r>
    </w:p>
    <w:p w:rsidR="0020499E" w:rsidRDefault="0020499E"/>
    <w:p w:rsidR="0020499E" w:rsidRDefault="008E27E1">
      <w:r>
        <w:t>Finally, a private institution such as the Agric</w:t>
      </w:r>
      <w:r>
        <w:t>ultural University, which enjoys more flexibility than its public counterparts to manage its human resources, has downsized its faculty from 890 to 250, retaining manly those that had the ability to both teach and research. Now, 80% of its professors are a</w:t>
      </w:r>
      <w:r>
        <w:t>lso researchers.</w:t>
      </w:r>
    </w:p>
    <w:p w:rsidR="0020499E" w:rsidRDefault="0020499E"/>
    <w:p w:rsidR="0020499E" w:rsidRDefault="008E27E1">
      <w:r>
        <w:t>These are mere nuances in a globally negative picture: in the majority of the cases, the merger was unsuccessful. Some Universities have even established their own institutes, in direct competition with the institutes they were supposed t</w:t>
      </w:r>
      <w:r>
        <w:t>o integrate. Some researchers indicated in the interviews that when they tried to obtain a professor’s position to improve their salary, they could only find one in another University.</w:t>
      </w:r>
    </w:p>
    <w:p w:rsidR="0020499E" w:rsidRDefault="0020499E"/>
    <w:p w:rsidR="0020499E" w:rsidRDefault="008E27E1">
      <w:r>
        <w:t>Universities are not the only source of the problem: a number of our i</w:t>
      </w:r>
      <w:r>
        <w:t xml:space="preserve">nterlocutors have criticized the pyramidal organization of the institutes themselves and the lack of collegial governance. </w:t>
      </w:r>
    </w:p>
    <w:p w:rsidR="0020499E" w:rsidRDefault="0020499E"/>
    <w:p w:rsidR="0020499E" w:rsidRDefault="008E27E1">
      <w:r>
        <w:t xml:space="preserve">In the eyes of many, a change of the legal status of the institutes, which could be transformed into so-called Legal Entities of </w:t>
      </w:r>
      <w:r>
        <w:t xml:space="preserve">Public Law (LEPL) would significantly improve the current situation. LEPL can be attached to several Universities, they are governed by a scientific council and they have more autonomy and flexibility, notably to seek additional means of financing. </w:t>
      </w:r>
    </w:p>
    <w:p w:rsidR="0020499E" w:rsidRDefault="0020499E"/>
    <w:p w:rsidR="0020499E" w:rsidRDefault="008E27E1">
      <w:pPr>
        <w:autoSpaceDE/>
        <w:autoSpaceDN/>
        <w:adjustRightInd/>
        <w:rPr>
          <w:rFonts w:cs="Arial"/>
          <w:color w:val="000000"/>
        </w:rPr>
      </w:pPr>
      <w:r>
        <w:t xml:space="preserve">Only a few institutes have been allowed to acquire a LEPL status to date, however. It is the case of the </w:t>
      </w:r>
      <w:r>
        <w:rPr>
          <w:rFonts w:cs="Arial"/>
          <w:color w:val="000000"/>
        </w:rPr>
        <w:t xml:space="preserve">Eliava institute of bacteriology, for example, whose representatives consider that without such status, they could not have developed their commercial </w:t>
      </w:r>
      <w:r>
        <w:rPr>
          <w:rFonts w:cs="Arial"/>
          <w:color w:val="000000"/>
        </w:rPr>
        <w:t xml:space="preserve">activities - that are now their main source of revenues.   </w:t>
      </w:r>
    </w:p>
    <w:p w:rsidR="0020499E" w:rsidRDefault="0020499E"/>
    <w:p w:rsidR="0020499E" w:rsidRDefault="008E27E1">
      <w:pPr>
        <w:pStyle w:val="Heading3"/>
      </w:pPr>
      <w:bookmarkStart w:id="27" w:name="_Toc389396914"/>
      <w:r>
        <w:t>3.1.2 Research funding</w:t>
      </w:r>
      <w:bookmarkEnd w:id="27"/>
    </w:p>
    <w:p w:rsidR="0020499E" w:rsidRDefault="0020499E"/>
    <w:p w:rsidR="0020499E" w:rsidRDefault="008E27E1">
      <w:r>
        <w:t xml:space="preserve">Figures are well-known and have been abundantly commented in previous reports. Consequently, this section only gives a brief reminder of the current situation. </w:t>
      </w:r>
    </w:p>
    <w:p w:rsidR="0020499E" w:rsidRDefault="0020499E"/>
    <w:p w:rsidR="0020499E" w:rsidRDefault="008E27E1">
      <w:r>
        <w:t>With 0.17</w:t>
      </w:r>
      <w:r>
        <w:t xml:space="preserve">% of the country’s GDP, Georgia’s research budget is twelve to fifteen times below national research budgets in EU countries and almost twenty times below the 3% EU target for its members. </w:t>
      </w:r>
    </w:p>
    <w:p w:rsidR="0020499E" w:rsidRDefault="0020499E"/>
    <w:p w:rsidR="0020499E" w:rsidRDefault="008E27E1">
      <w:r>
        <w:t>Given the country’s actual GDP, Georgian research is critically u</w:t>
      </w:r>
      <w:r>
        <w:t xml:space="preserve">nderfunded. The number of scientists per 1000 employees is inferior to 2 in Georgia, where it is on average 5 in the EU (7 in the US). Moreover, a broad range of scientific experiments can no longer be conducted due to obsolete or inexistent equipment and </w:t>
      </w:r>
      <w:r>
        <w:t xml:space="preserve">lack of supplies. </w:t>
      </w:r>
    </w:p>
    <w:p w:rsidR="0020499E" w:rsidRDefault="0020499E"/>
    <w:p w:rsidR="0020499E" w:rsidRDefault="008E27E1">
      <w:r>
        <w:t>The situation that prevails today was already summarized seven years ago in what appears to be the oldest report available on the state of research in Georgia:</w:t>
      </w:r>
    </w:p>
    <w:p w:rsidR="0020499E" w:rsidRDefault="0020499E"/>
    <w:p w:rsidR="0020499E" w:rsidRDefault="008E27E1">
      <w:pPr>
        <w:ind w:left="720" w:right="582"/>
      </w:pPr>
      <w:r>
        <w:t>“The state of science, its present status, and position of scientists in th</w:t>
      </w:r>
      <w:r>
        <w:t xml:space="preserve">e society – these are vivid examples of contradiction. At the theoretical level, important role of science as a special social subsystem in maintaining national security, reproducing technological and spiritual levels in its development, is recognized. On </w:t>
      </w:r>
      <w:r>
        <w:t>the other hand, low level of remuneration of intellectual labor, underestimation of its social significance, lack of opportunity for self-realization as a scientist, emergence of the situation called “status degradation” are the facts characterizing the sp</w:t>
      </w:r>
      <w:r>
        <w:t xml:space="preserve">here of science” (Khlevovits and Saluveer, 2007). </w:t>
      </w:r>
    </w:p>
    <w:p w:rsidR="0020499E" w:rsidRDefault="0020499E">
      <w:pPr>
        <w:ind w:right="582"/>
      </w:pPr>
    </w:p>
    <w:p w:rsidR="0020499E" w:rsidRDefault="008E27E1">
      <w:pPr>
        <w:widowControl w:val="0"/>
      </w:pPr>
      <w:r>
        <w:t xml:space="preserve">Since then, the only noticeable improvement concerns the introduction of a dual funding mechanism by the 2007 Law on </w:t>
      </w:r>
      <w:r>
        <w:rPr>
          <w:rFonts w:cs="Helvetica"/>
          <w:lang w:val="en-GB"/>
        </w:rPr>
        <w:t>on Georgian National Academy of Science (</w:t>
      </w:r>
      <w:r>
        <w:t xml:space="preserve">article 15). </w:t>
      </w:r>
    </w:p>
    <w:p w:rsidR="0020499E" w:rsidRDefault="0020499E">
      <w:pPr>
        <w:widowControl w:val="0"/>
      </w:pPr>
    </w:p>
    <w:p w:rsidR="0020499E" w:rsidRDefault="008E27E1">
      <w:pPr>
        <w:widowControl w:val="0"/>
        <w:rPr>
          <w:rFonts w:cs="Helvetica Neue"/>
          <w:color w:val="222222"/>
          <w:lang w:val="en-GB"/>
        </w:rPr>
      </w:pPr>
      <w:r>
        <w:t>F</w:t>
      </w:r>
      <w:r>
        <w:rPr>
          <w:rFonts w:cs="Helvetica Neue"/>
          <w:color w:val="222222"/>
          <w:lang w:val="en-GB"/>
        </w:rPr>
        <w:t xml:space="preserve">unding of research in Georgia </w:t>
      </w:r>
      <w:r>
        <w:rPr>
          <w:rFonts w:cs="Helvetica Neue"/>
          <w:color w:val="222222"/>
          <w:lang w:val="en-GB"/>
        </w:rPr>
        <w:t>is now assigned from the state budget via a two-level system:</w:t>
      </w:r>
    </w:p>
    <w:p w:rsidR="0020499E" w:rsidRDefault="0020499E">
      <w:pPr>
        <w:widowControl w:val="0"/>
        <w:rPr>
          <w:rFonts w:cs="Helvetica Neue"/>
          <w:color w:val="222222"/>
          <w:lang w:val="en-GB"/>
        </w:rPr>
      </w:pPr>
    </w:p>
    <w:p w:rsidR="0020499E" w:rsidRDefault="008E27E1">
      <w:pPr>
        <w:pStyle w:val="ListParagraph"/>
        <w:numPr>
          <w:ilvl w:val="0"/>
          <w:numId w:val="10"/>
        </w:numPr>
        <w:rPr>
          <w:rFonts w:ascii="Verdana" w:eastAsia="Calibri" w:hAnsi="Verdana" w:cs="Helvetica Neue"/>
          <w:color w:val="222222"/>
          <w:sz w:val="20"/>
          <w:szCs w:val="20"/>
          <w:lang w:val="en-GB"/>
        </w:rPr>
      </w:pPr>
      <w:r>
        <w:rPr>
          <w:rFonts w:ascii="Verdana" w:eastAsia="Calibri" w:hAnsi="Verdana" w:cs="Helvetica Neue"/>
          <w:color w:val="222222"/>
          <w:sz w:val="20"/>
          <w:szCs w:val="20"/>
          <w:lang w:val="en-GB"/>
        </w:rPr>
        <w:t>a block (fixed) funding ;</w:t>
      </w:r>
    </w:p>
    <w:p w:rsidR="0020499E" w:rsidRDefault="008E27E1">
      <w:pPr>
        <w:pStyle w:val="ListParagraph"/>
        <w:numPr>
          <w:ilvl w:val="0"/>
          <w:numId w:val="10"/>
        </w:numPr>
        <w:rPr>
          <w:rFonts w:ascii="Verdana" w:eastAsia="Calibri" w:hAnsi="Verdana" w:cs="Helvetica Neue"/>
          <w:color w:val="222222"/>
          <w:sz w:val="20"/>
          <w:szCs w:val="20"/>
          <w:lang w:val="en-GB"/>
        </w:rPr>
      </w:pPr>
      <w:r>
        <w:rPr>
          <w:rFonts w:ascii="Verdana" w:eastAsia="Calibri" w:hAnsi="Verdana" w:cs="Helvetica Neue"/>
          <w:color w:val="222222"/>
          <w:sz w:val="20"/>
          <w:szCs w:val="20"/>
          <w:lang w:val="en-GB"/>
        </w:rPr>
        <w:t>a</w:t>
      </w:r>
      <w:r>
        <w:rPr>
          <w:rFonts w:ascii="Verdana" w:hAnsi="Verdana"/>
          <w:sz w:val="20"/>
          <w:szCs w:val="20"/>
        </w:rPr>
        <w:t xml:space="preserve">competitive funding based on peer-review, under the auspices of the </w:t>
      </w:r>
      <w:r>
        <w:rPr>
          <w:rFonts w:ascii="Verdana" w:hAnsi="Verdana"/>
          <w:sz w:val="20"/>
          <w:szCs w:val="20"/>
          <w:lang w:val="en-GB"/>
        </w:rPr>
        <w:t xml:space="preserve">ShotaRustaveli National Science Foundation (SRNSF). Pursuant to this system, funding is allocated </w:t>
      </w:r>
      <w:r>
        <w:rPr>
          <w:rFonts w:ascii="Verdana" w:hAnsi="Verdana"/>
          <w:sz w:val="20"/>
          <w:szCs w:val="20"/>
          <w:lang w:val="en-GB"/>
        </w:rPr>
        <w:t xml:space="preserve">under </w:t>
      </w:r>
      <w:r>
        <w:rPr>
          <w:rFonts w:ascii="Verdana" w:hAnsi="Verdana"/>
          <w:sz w:val="20"/>
          <w:szCs w:val="20"/>
        </w:rPr>
        <w:t>3 types of grants:</w:t>
      </w:r>
    </w:p>
    <w:p w:rsidR="0020499E" w:rsidRDefault="008E27E1">
      <w:pPr>
        <w:pStyle w:val="ListParagraph"/>
        <w:numPr>
          <w:ilvl w:val="1"/>
          <w:numId w:val="10"/>
        </w:numPr>
        <w:rPr>
          <w:rFonts w:ascii="Verdana" w:eastAsia="Calibri" w:hAnsi="Verdana" w:cs="Helvetica Neue"/>
          <w:color w:val="222222"/>
          <w:sz w:val="20"/>
          <w:szCs w:val="20"/>
          <w:lang w:val="en-GB"/>
        </w:rPr>
      </w:pPr>
      <w:r>
        <w:rPr>
          <w:rFonts w:ascii="Verdana" w:hAnsi="Verdana"/>
          <w:sz w:val="20"/>
          <w:szCs w:val="20"/>
          <w:lang w:val="en-GB"/>
        </w:rPr>
        <w:t>for individual</w:t>
      </w:r>
      <w:r>
        <w:rPr>
          <w:rFonts w:ascii="Verdana" w:hAnsi="Verdana"/>
          <w:sz w:val="20"/>
          <w:szCs w:val="20"/>
        </w:rPr>
        <w:t xml:space="preserve"> researchers (25%),</w:t>
      </w:r>
    </w:p>
    <w:p w:rsidR="0020499E" w:rsidRDefault="008E27E1">
      <w:pPr>
        <w:pStyle w:val="ListParagraph"/>
        <w:numPr>
          <w:ilvl w:val="1"/>
          <w:numId w:val="10"/>
        </w:numPr>
        <w:autoSpaceDE/>
        <w:autoSpaceDN/>
        <w:adjustRightInd/>
        <w:rPr>
          <w:rFonts w:ascii="Verdana" w:hAnsi="Verdana"/>
          <w:sz w:val="20"/>
          <w:szCs w:val="20"/>
        </w:rPr>
      </w:pPr>
      <w:r>
        <w:rPr>
          <w:rFonts w:ascii="Verdana" w:hAnsi="Verdana"/>
          <w:sz w:val="20"/>
          <w:szCs w:val="20"/>
          <w:lang w:val="en-GB"/>
        </w:rPr>
        <w:t xml:space="preserve">for teams, that may be composed of members from several institutions </w:t>
      </w:r>
      <w:r>
        <w:rPr>
          <w:rFonts w:ascii="Verdana" w:hAnsi="Verdana"/>
          <w:sz w:val="20"/>
          <w:szCs w:val="20"/>
        </w:rPr>
        <w:t>(50%);</w:t>
      </w:r>
    </w:p>
    <w:p w:rsidR="0020499E" w:rsidRDefault="008E27E1">
      <w:pPr>
        <w:pStyle w:val="ListParagraph"/>
        <w:numPr>
          <w:ilvl w:val="1"/>
          <w:numId w:val="10"/>
        </w:numPr>
        <w:autoSpaceDE/>
        <w:autoSpaceDN/>
        <w:adjustRightInd/>
        <w:rPr>
          <w:rFonts w:ascii="Verdana" w:hAnsi="Verdana"/>
          <w:sz w:val="20"/>
          <w:szCs w:val="20"/>
        </w:rPr>
      </w:pPr>
      <w:r>
        <w:rPr>
          <w:rFonts w:ascii="Verdana" w:hAnsi="Verdana"/>
          <w:sz w:val="20"/>
          <w:szCs w:val="20"/>
        </w:rPr>
        <w:t>for organization (25%) – these grants concern scientific equipment.</w:t>
      </w:r>
    </w:p>
    <w:p w:rsidR="0020499E" w:rsidRDefault="008E27E1">
      <w:pPr>
        <w:ind w:left="720"/>
        <w:rPr>
          <w:rFonts w:cs="Helvetica Neue"/>
          <w:lang w:val="en-GB"/>
        </w:rPr>
      </w:pPr>
      <w:r>
        <w:rPr>
          <w:rFonts w:cs="Helvetica Neue"/>
          <w:color w:val="222222"/>
          <w:lang w:val="en-GB"/>
        </w:rPr>
        <w:t xml:space="preserve">Grants are of equal amounts </w:t>
      </w:r>
      <w:r>
        <w:rPr>
          <w:rFonts w:cs="Helvetica Neue"/>
          <w:lang w:val="en-GB"/>
        </w:rPr>
        <w:t xml:space="preserve">(GEL 50,000 for one project of fundamental research and </w:t>
      </w:r>
      <w:r>
        <w:t xml:space="preserve">GEL 100,000 for one project of applied research) and </w:t>
      </w:r>
      <w:r>
        <w:rPr>
          <w:rFonts w:cs="Helvetica Neue"/>
          <w:color w:val="222222"/>
          <w:lang w:val="en-GB"/>
        </w:rPr>
        <w:t xml:space="preserve">distributed equitably across disciplines (three projects per discipline </w:t>
      </w:r>
      <w:r>
        <w:rPr>
          <w:rFonts w:cs="Helvetica Neue"/>
          <w:lang w:val="en-GB"/>
        </w:rPr>
        <w:t>per annum).</w:t>
      </w:r>
    </w:p>
    <w:p w:rsidR="0020499E" w:rsidRDefault="0020499E">
      <w:pPr>
        <w:autoSpaceDE/>
        <w:autoSpaceDN/>
        <w:adjustRightInd/>
      </w:pPr>
    </w:p>
    <w:p w:rsidR="0020499E" w:rsidRDefault="008E27E1">
      <w:r>
        <w:t xml:space="preserve">Again, this system has been abundantly commented in other reports (for a recent account, see </w:t>
      </w:r>
      <w:r>
        <w:rPr>
          <w:i/>
        </w:rPr>
        <w:t>e.g.</w:t>
      </w:r>
      <w:r>
        <w:rPr>
          <w:rFonts w:cs="LitMtavrPS"/>
          <w:lang w:val="en-GB"/>
        </w:rPr>
        <w:t xml:space="preserve">Bakradze, </w:t>
      </w:r>
      <w:r>
        <w:rPr>
          <w:lang w:val="en-GB"/>
        </w:rPr>
        <w:t xml:space="preserve">2013). Consequently, we will focus here on the evolution of the perception of the </w:t>
      </w:r>
      <w:r>
        <w:rPr>
          <w:lang w:val="en-GB"/>
        </w:rPr>
        <w:lastRenderedPageBreak/>
        <w:t>role and contribution of the SRNSF by the research community, which</w:t>
      </w:r>
      <w:r>
        <w:rPr>
          <w:lang w:val="en-GB"/>
        </w:rPr>
        <w:t xml:space="preserve"> is a symptomatic illustration of the detrimental </w:t>
      </w:r>
      <w:r>
        <w:t xml:space="preserve">consequences of its limited - and fluctuating - budget: since 2007, the amount available for grant competition has varied from about 7 to 24 million GEL, depending on the year (GEL 12.1 million in 2012, 20 </w:t>
      </w:r>
      <w:r>
        <w:t>million in 2013)</w:t>
      </w:r>
      <w:r>
        <w:rPr>
          <w:rStyle w:val="FootnoteReference"/>
        </w:rPr>
        <w:footnoteReference w:id="4"/>
      </w:r>
      <w:r>
        <w:t xml:space="preserve">. </w:t>
      </w:r>
    </w:p>
    <w:p w:rsidR="0020499E" w:rsidRDefault="0020499E">
      <w:pPr>
        <w:autoSpaceDE/>
        <w:autoSpaceDN/>
        <w:adjustRightInd/>
      </w:pPr>
    </w:p>
    <w:p w:rsidR="0020499E" w:rsidRDefault="008E27E1">
      <w:r>
        <w:rPr>
          <w:lang w:val="en-GB"/>
        </w:rPr>
        <w:t>All our interlocutors have indicated that in principle, the research community was very positive about the introduction of a dose of competition in research funding. Initially, researcher have welcomed the action of the SRNSF, whose ef</w:t>
      </w:r>
      <w:r>
        <w:rPr>
          <w:lang w:val="en-GB"/>
        </w:rPr>
        <w:t>forts to introduce objective project assessment mechanisms have been widely acknowledged (the SRNSF maintains a database of u</w:t>
      </w:r>
      <w:r>
        <w:t xml:space="preserve">p to 5,000 experts and the evaluation process can take up to 10 months).  </w:t>
      </w:r>
    </w:p>
    <w:p w:rsidR="0020499E" w:rsidRDefault="0020499E">
      <w:pPr>
        <w:autoSpaceDE/>
        <w:autoSpaceDN/>
        <w:adjustRightInd/>
      </w:pPr>
    </w:p>
    <w:p w:rsidR="0020499E" w:rsidRDefault="008E27E1">
      <w:pPr>
        <w:autoSpaceDE/>
        <w:autoSpaceDN/>
        <w:adjustRightInd/>
        <w:rPr>
          <w:lang w:val="en-GB"/>
        </w:rPr>
      </w:pPr>
      <w:r>
        <w:rPr>
          <w:lang w:val="en-GB"/>
        </w:rPr>
        <w:t>However, the increase in the number of submitted projec</w:t>
      </w:r>
      <w:r>
        <w:rPr>
          <w:lang w:val="en-GB"/>
        </w:rPr>
        <w:t xml:space="preserve">ts and hence, in competition among research institutes in a context of sometimes decreasing funding has created a situation that has progressively undermined the credibility of the SRNSF. </w:t>
      </w:r>
    </w:p>
    <w:p w:rsidR="0020499E" w:rsidRDefault="0020499E">
      <w:pPr>
        <w:autoSpaceDE/>
        <w:autoSpaceDN/>
        <w:adjustRightInd/>
        <w:rPr>
          <w:lang w:val="en-GB"/>
        </w:rPr>
      </w:pPr>
    </w:p>
    <w:p w:rsidR="0020499E" w:rsidRDefault="008E27E1">
      <w:pPr>
        <w:autoSpaceDE/>
        <w:autoSpaceDN/>
        <w:adjustRightInd/>
        <w:rPr>
          <w:lang w:val="en-GB"/>
        </w:rPr>
      </w:pPr>
      <w:r>
        <w:rPr>
          <w:lang w:val="en-GB"/>
        </w:rPr>
        <w:t>With the increase of applicants, the decreasing percentage of sele</w:t>
      </w:r>
      <w:r>
        <w:rPr>
          <w:lang w:val="en-GB"/>
        </w:rPr>
        <w:t>cted projects mechanically corrupted the evaluation process. Instead of providing – as required – a comprehensive grading of several dimensions on a total of 100, many experts have resorted to an evaluation on a pass / fail basis, by giving an exaggeratedl</w:t>
      </w:r>
      <w:r>
        <w:rPr>
          <w:lang w:val="en-GB"/>
        </w:rPr>
        <w:t xml:space="preserve">y high mark to the projects which they believed deserved to be selected and an exaggeratedly low mark to the other projects. Several researchers mentioned specific instances where two experts had given opposite marks to the same project. </w:t>
      </w:r>
    </w:p>
    <w:p w:rsidR="0020499E" w:rsidRDefault="0020499E">
      <w:pPr>
        <w:autoSpaceDE/>
        <w:autoSpaceDN/>
        <w:adjustRightInd/>
        <w:rPr>
          <w:lang w:val="en-GB"/>
        </w:rPr>
      </w:pPr>
    </w:p>
    <w:p w:rsidR="0020499E" w:rsidRDefault="008E27E1">
      <w:pPr>
        <w:autoSpaceDE/>
        <w:autoSpaceDN/>
        <w:adjustRightInd/>
        <w:rPr>
          <w:lang w:val="en-GB"/>
        </w:rPr>
      </w:pPr>
      <w:r>
        <w:rPr>
          <w:lang w:val="en-GB"/>
        </w:rPr>
        <w:t xml:space="preserve">When applicants </w:t>
      </w:r>
      <w:r>
        <w:rPr>
          <w:lang w:val="en-GB"/>
        </w:rPr>
        <w:t>began questioning the accuracy and fairness of their evaluations, the evaluation system adopted by the SRNSF (a written evaluation without a hearing or any possibility to appeal the verdict) lost its initial legitimacy and started being perceived as a blac</w:t>
      </w:r>
      <w:r>
        <w:rPr>
          <w:lang w:val="en-GB"/>
        </w:rPr>
        <w:t xml:space="preserve">k box.  </w:t>
      </w:r>
    </w:p>
    <w:p w:rsidR="0020499E" w:rsidRDefault="0020499E">
      <w:pPr>
        <w:autoSpaceDE/>
        <w:autoSpaceDN/>
        <w:adjustRightInd/>
        <w:rPr>
          <w:lang w:val="en-GB"/>
        </w:rPr>
      </w:pPr>
    </w:p>
    <w:p w:rsidR="0020499E" w:rsidRDefault="008E27E1">
      <w:pPr>
        <w:autoSpaceDE/>
        <w:autoSpaceDN/>
        <w:adjustRightInd/>
        <w:rPr>
          <w:lang w:val="en-GB"/>
        </w:rPr>
      </w:pPr>
      <w:r>
        <w:rPr>
          <w:lang w:val="en-GB"/>
        </w:rPr>
        <w:t xml:space="preserve">More generally, the scarcity of resources has inevitably exacerbated rivalries among disciplines. World-class teams of researchers are now overtly questioning the competitive nature of a funding system that </w:t>
      </w:r>
      <w:r>
        <w:t>spreads a thin budget into too many pro</w:t>
      </w:r>
      <w:r>
        <w:t>jects</w:t>
      </w:r>
      <w:r>
        <w:rPr>
          <w:lang w:val="en-GB"/>
        </w:rPr>
        <w:t xml:space="preserve"> without any </w:t>
      </w:r>
      <w:r>
        <w:rPr>
          <w:i/>
          <w:lang w:val="en-GB"/>
        </w:rPr>
        <w:t>ex post</w:t>
      </w:r>
      <w:r>
        <w:rPr>
          <w:lang w:val="en-GB"/>
        </w:rPr>
        <w:t xml:space="preserve"> evaluation of their relative achievements, notably in terms of international recognition. </w:t>
      </w:r>
    </w:p>
    <w:p w:rsidR="0020499E" w:rsidRDefault="0020499E">
      <w:pPr>
        <w:autoSpaceDE/>
        <w:autoSpaceDN/>
        <w:adjustRightInd/>
        <w:rPr>
          <w:lang w:val="en-GB"/>
        </w:rPr>
      </w:pPr>
    </w:p>
    <w:p w:rsidR="0020499E" w:rsidRDefault="008E27E1">
      <w:pPr>
        <w:autoSpaceDE/>
        <w:autoSpaceDN/>
        <w:adjustRightInd/>
      </w:pPr>
      <w:r>
        <w:rPr>
          <w:lang w:val="en-GB"/>
        </w:rPr>
        <w:t xml:space="preserve">In a recent study covering the period 2007-2012, </w:t>
      </w:r>
      <w:r>
        <w:t xml:space="preserve">Matcharashvili et al. (2013) conclude that </w:t>
      </w:r>
    </w:p>
    <w:p w:rsidR="0020499E" w:rsidRDefault="0020499E">
      <w:pPr>
        <w:autoSpaceDE/>
        <w:autoSpaceDN/>
        <w:adjustRightInd/>
      </w:pPr>
    </w:p>
    <w:p w:rsidR="0020499E" w:rsidRDefault="008E27E1">
      <w:pPr>
        <w:autoSpaceDE/>
        <w:autoSpaceDN/>
        <w:adjustRightInd/>
        <w:ind w:left="720"/>
        <w:rPr>
          <w:i/>
        </w:rPr>
      </w:pPr>
      <w:r>
        <w:rPr>
          <w:i/>
        </w:rPr>
        <w:t>“quality of peer reviewing of projects prese</w:t>
      </w:r>
      <w:r>
        <w:rPr>
          <w:i/>
        </w:rPr>
        <w:t>nted to the SRNSF grant competition do not enables selection of the most productive project teams; there is not any correlation between values of SRNSF reviewer's evaluation scores and bibliometric data of projects leaders in the Scopus data base. Accordin</w:t>
      </w:r>
      <w:r>
        <w:rPr>
          <w:i/>
        </w:rPr>
        <w:t xml:space="preserve">g to our results, in 2007-2012 substantial part of the governmental funding has been spent ineffectively.”  </w:t>
      </w:r>
    </w:p>
    <w:p w:rsidR="0020499E" w:rsidRDefault="0020499E">
      <w:pPr>
        <w:autoSpaceDE/>
        <w:autoSpaceDN/>
        <w:adjustRightInd/>
      </w:pPr>
    </w:p>
    <w:p w:rsidR="0020499E" w:rsidRDefault="008E27E1">
      <w:pPr>
        <w:autoSpaceDE/>
        <w:autoSpaceDN/>
        <w:adjustRightInd/>
        <w:rPr>
          <w:lang w:val="en-GB"/>
        </w:rPr>
      </w:pPr>
      <w:r>
        <w:rPr>
          <w:lang w:val="en-GB"/>
        </w:rPr>
        <w:t xml:space="preserve">In sum, the image of the SRNSF has deteriorated as its mission was changing: established to promote excellence in scientific research, it has </w:t>
      </w:r>
      <w:r>
        <w:rPr>
          <w:i/>
          <w:lang w:val="en-GB"/>
        </w:rPr>
        <w:t>de f</w:t>
      </w:r>
      <w:r>
        <w:rPr>
          <w:i/>
          <w:lang w:val="en-GB"/>
        </w:rPr>
        <w:t>acto</w:t>
      </w:r>
      <w:r>
        <w:rPr>
          <w:lang w:val="en-GB"/>
        </w:rPr>
        <w:t xml:space="preserve"> become an institution whose primary task is to manage scarcity in research funding.</w:t>
      </w:r>
    </w:p>
    <w:p w:rsidR="0020499E" w:rsidRDefault="0020499E">
      <w:pPr>
        <w:tabs>
          <w:tab w:val="left" w:pos="1087"/>
        </w:tabs>
      </w:pPr>
    </w:p>
    <w:p w:rsidR="0020499E" w:rsidRDefault="008E27E1">
      <w:pPr>
        <w:pStyle w:val="Heading3"/>
      </w:pPr>
      <w:bookmarkStart w:id="28" w:name="_Toc389396915"/>
      <w:r>
        <w:t>3.1.3 Research evaluation criteria</w:t>
      </w:r>
      <w:bookmarkEnd w:id="28"/>
    </w:p>
    <w:p w:rsidR="0020499E" w:rsidRDefault="0020499E"/>
    <w:p w:rsidR="0020499E" w:rsidRDefault="008E27E1">
      <w:pPr>
        <w:autoSpaceDE/>
        <w:autoSpaceDN/>
        <w:adjustRightInd/>
      </w:pPr>
      <w:r>
        <w:t xml:space="preserve">Unsurprisingly, depending on the fields of research, opinions vary as to what should be the main evaluation criteria. </w:t>
      </w:r>
    </w:p>
    <w:p w:rsidR="0020499E" w:rsidRDefault="0020499E">
      <w:pPr>
        <w:autoSpaceDE/>
        <w:autoSpaceDN/>
        <w:adjustRightInd/>
      </w:pPr>
    </w:p>
    <w:p w:rsidR="0020499E" w:rsidRDefault="008E27E1">
      <w:pPr>
        <w:autoSpaceDE/>
        <w:autoSpaceDN/>
        <w:adjustRightInd/>
      </w:pPr>
      <w:r>
        <w:t>Researchers in natural science strongly resemble their Western counterparts: they believe that teams should be assessed rather than individuals or institutes and they are very familiar and comfortable with general bibliometric indices (Chobanyan et al. 201</w:t>
      </w:r>
      <w:r>
        <w:t xml:space="preserve">0). At the opposite of the spectrum, independent institutes (LEPL) consider that their commercial success should be a </w:t>
      </w:r>
      <w:r>
        <w:lastRenderedPageBreak/>
        <w:t xml:space="preserve">component of their assessment. Finally, other researchers mention more traditional performance criteria such as direct contracts with the </w:t>
      </w:r>
      <w:r>
        <w:t>industry (a major performance criterion for engineering schools, which does not appear in bibliometric analysis), patents filed, growth of research subjects, internationalization...</w:t>
      </w:r>
    </w:p>
    <w:p w:rsidR="0020499E" w:rsidRDefault="0020499E">
      <w:pPr>
        <w:autoSpaceDE/>
        <w:autoSpaceDN/>
        <w:adjustRightInd/>
      </w:pPr>
    </w:p>
    <w:p w:rsidR="0020499E" w:rsidRDefault="008E27E1">
      <w:pPr>
        <w:autoSpaceDE/>
        <w:autoSpaceDN/>
        <w:adjustRightInd/>
        <w:rPr>
          <w:color w:val="000000" w:themeColor="text1"/>
        </w:rPr>
      </w:pPr>
      <w:r>
        <w:t>Some interlocutors warned us about the potential danger of some tradition</w:t>
      </w:r>
      <w:r>
        <w:t xml:space="preserve">al indicators in the Georgian context. For example, the number of Ph.D dissertations may be problematic in the absence of a quality control on their supervision. Likewise, a criterion such as the number of </w:t>
      </w:r>
      <w:r>
        <w:rPr>
          <w:color w:val="000000" w:themeColor="text1"/>
        </w:rPr>
        <w:t>joint initiatives involving both institutes and un</w:t>
      </w:r>
      <w:r>
        <w:rPr>
          <w:color w:val="000000" w:themeColor="text1"/>
        </w:rPr>
        <w:t xml:space="preserve">iversities might produce very artificial results considering that there are professors that are not researchers.  </w:t>
      </w:r>
    </w:p>
    <w:p w:rsidR="0020499E" w:rsidRDefault="0020499E">
      <w:pPr>
        <w:ind w:left="360"/>
      </w:pPr>
    </w:p>
    <w:p w:rsidR="0020499E" w:rsidRDefault="008E27E1">
      <w:r>
        <w:t>Finally, some noted that evaluating researchers that do not teach begs the question of the evaluation of the professors that do not do resea</w:t>
      </w:r>
      <w:r>
        <w:t>rch. And as a matter of fact, this is what happened in Germany, where one assessment inevitably led to the other.</w:t>
      </w:r>
    </w:p>
    <w:p w:rsidR="0020499E" w:rsidRDefault="0020499E"/>
    <w:p w:rsidR="0020499E" w:rsidRDefault="008E27E1">
      <w:pPr>
        <w:pStyle w:val="Heading3"/>
      </w:pPr>
      <w:bookmarkStart w:id="29" w:name="_Toc389396916"/>
      <w:r>
        <w:t>3.1.4 The Ph.D issue</w:t>
      </w:r>
      <w:bookmarkEnd w:id="29"/>
    </w:p>
    <w:p w:rsidR="0020499E" w:rsidRDefault="0020499E">
      <w:pPr>
        <w:rPr>
          <w:color w:val="000000" w:themeColor="text1"/>
        </w:rPr>
      </w:pPr>
    </w:p>
    <w:p w:rsidR="0020499E" w:rsidRDefault="008E27E1">
      <w:r>
        <w:rPr>
          <w:color w:val="000000" w:themeColor="text1"/>
        </w:rPr>
        <w:t>There are more than</w:t>
      </w:r>
      <w:r>
        <w:t xml:space="preserve"> 3,000 Ph.D students in Georgia, but the Head of the Tempus office in Georgia explains that </w:t>
      </w:r>
      <w:r>
        <w:rPr>
          <w:color w:val="000000" w:themeColor="text1"/>
        </w:rPr>
        <w:t>the actu</w:t>
      </w:r>
      <w:r>
        <w:rPr>
          <w:color w:val="000000" w:themeColor="text1"/>
        </w:rPr>
        <w:t>al number of Ph.D students that will eventually obtain a Ph.D is in fact much lower: there is n</w:t>
      </w:r>
      <w:r>
        <w:t>o state grant for doctoral students, and many cannot devote sufficient time to their studies because they have to work in parallel. In some cases the professor s</w:t>
      </w:r>
      <w:r>
        <w:t>tudent ratio is 1:20. The difficulty to find Ph.D students willing to go abroad within the framework of an Erasmus mobility programs is symptomatic: potential candidates cannot afford to stop working and are afraid that they will not get their teaching pos</w:t>
      </w:r>
      <w:r>
        <w:t xml:space="preserve">ition back when they return. </w:t>
      </w:r>
    </w:p>
    <w:p w:rsidR="0020499E" w:rsidRDefault="0020499E"/>
    <w:p w:rsidR="0020499E" w:rsidRDefault="008E27E1">
      <w:r>
        <w:t>In every discipline, the general level of the Ph.D students is decreasing, notably for lack of proper supervision. In particular, it is extremely difficult for Ph.D students to make experiments: since only universities profes</w:t>
      </w:r>
      <w:r>
        <w:t>sors can supervise them, many cannot practice for lack of access to the institutes, which lost their right to deliver a Ph.D</w:t>
      </w:r>
      <w:r>
        <w:rPr>
          <w:shd w:val="clear" w:color="auto" w:fill="FFFFFF" w:themeFill="background1"/>
        </w:rPr>
        <w:t>in 2007. Thus</w:t>
      </w:r>
      <w:r>
        <w:t>, absent any form of recognition or funding, researchers have no incentive to train Ph.D students on their own resource</w:t>
      </w:r>
      <w:r>
        <w:t xml:space="preserve">s. Students that manage to do research have to volunteer to work in an institute and only a handful get a salary as lab assistant. </w:t>
      </w:r>
    </w:p>
    <w:p w:rsidR="0020499E" w:rsidRDefault="0020499E"/>
    <w:p w:rsidR="0020499E" w:rsidRDefault="008E27E1">
      <w:r>
        <w:t>After completing their doctoral studies, young Ph.Ds cannot improve their limited research skills: there is no post-doctora</w:t>
      </w:r>
      <w:r>
        <w:t>l program</w:t>
      </w:r>
      <w:r>
        <w:rPr>
          <w:lang w:val="en-GB"/>
        </w:rPr>
        <w:t xml:space="preserve"> in Georgia and also, </w:t>
      </w:r>
      <w:r>
        <w:t xml:space="preserve">they have to respond to an </w:t>
      </w:r>
      <w:r>
        <w:rPr>
          <w:color w:val="000000" w:themeColor="text1"/>
        </w:rPr>
        <w:t>important university demand for teaching hours. Student tuitions being their main source of funding, universities tend to recruit more students, hence their need for more courses and curricula. At p</w:t>
      </w:r>
      <w:r>
        <w:rPr>
          <w:color w:val="000000" w:themeColor="text1"/>
        </w:rPr>
        <w:t xml:space="preserve">resent, </w:t>
      </w:r>
      <w:r>
        <w:t>young Ph.Ds spend most of their time in classrooms and considering the alternative, that is, joining a research institute for a much lower salary, everything seems to be in place to ensure that they will never become researchers.</w:t>
      </w:r>
    </w:p>
    <w:p w:rsidR="0020499E" w:rsidRDefault="0020499E"/>
    <w:p w:rsidR="0020499E" w:rsidRDefault="008E27E1">
      <w:r>
        <w:t>Some institutions</w:t>
      </w:r>
      <w:r>
        <w:t xml:space="preserve"> are trying to improve this situation. Ilia State University, for example, is currently trying to assess the reality of its 400 Ph.D students and is aiming at a smaller group where will only remain those who have a reasonable chance of completing their Ph.</w:t>
      </w:r>
      <w:r>
        <w:t>D. In parallel, the doctoral program is increasingly demanding: publication in at least two peer-reviewed journals in the course of the Ph.D process is now mandatory.  The Agrarian University has also made significant improvements: it now has only 20 Phd s</w:t>
      </w:r>
      <w:r>
        <w:t xml:space="preserve">tudents (as opposed to 200 before), and each of them is involved in ongoing scientific projects in order to benefit from a real research training. </w:t>
      </w:r>
    </w:p>
    <w:p w:rsidR="0020499E" w:rsidRDefault="0020499E"/>
    <w:p w:rsidR="0020499E" w:rsidRDefault="008E27E1">
      <w:r>
        <w:t xml:space="preserve">These are exceptions however: in most cases, little can be done to improve the research skills of the Ph.D </w:t>
      </w:r>
      <w:r>
        <w:t xml:space="preserve">students. To date, there is no legal basis to enable double affiliations (in a university and in an institute) and whilst highly desirable, such evolution is confronted to an important resistance on the part of the universities that do not want to give up </w:t>
      </w:r>
      <w:r>
        <w:t xml:space="preserve">their monopoly. </w:t>
      </w:r>
    </w:p>
    <w:p w:rsidR="0020499E" w:rsidRDefault="0020499E"/>
    <w:p w:rsidR="0020499E" w:rsidRDefault="008E27E1">
      <w:r>
        <w:t>This Ph.D problem is potentially the biggest threat to Georgian research, because the country presently lacks a young generation of well-trained researchers, able and willing to take over a research sector predominantly populated by aging</w:t>
      </w:r>
      <w:r>
        <w:t xml:space="preserve"> scientists that will retire in the next few years. </w:t>
      </w:r>
    </w:p>
    <w:p w:rsidR="0020499E" w:rsidRDefault="0020499E"/>
    <w:p w:rsidR="0020499E" w:rsidRDefault="008E27E1">
      <w:r>
        <w:t>For the Ph.D is also the area where higher education and research are the most intertwined, it is important that the ongoing reform of the two sectors be devised in a way that introduces an incentive to</w:t>
      </w:r>
      <w:r>
        <w:t xml:space="preserve"> go to science. In practice, this means the creation of a clear status of professor-researcher comparable to what exists in most universities in the world. Doctoral studies should be conceived as a first stage of a career track where students will have som</w:t>
      </w:r>
      <w:r>
        <w:t>e visibility in terms of options and rewards.</w:t>
      </w:r>
    </w:p>
    <w:p w:rsidR="0020499E" w:rsidRDefault="0020499E"/>
    <w:p w:rsidR="0020499E" w:rsidRDefault="008E27E1">
      <w:pPr>
        <w:pStyle w:val="Heading3"/>
      </w:pPr>
      <w:bookmarkStart w:id="30" w:name="_Toc389396917"/>
      <w:r>
        <w:t>3.1.5 Economic output of research</w:t>
      </w:r>
      <w:bookmarkEnd w:id="30"/>
    </w:p>
    <w:p w:rsidR="0020499E" w:rsidRDefault="0020499E">
      <w:pPr>
        <w:rPr>
          <w:b/>
        </w:rPr>
      </w:pPr>
    </w:p>
    <w:p w:rsidR="0020499E" w:rsidRDefault="008E27E1">
      <w:pPr>
        <w:autoSpaceDE/>
        <w:autoSpaceDN/>
        <w:adjustRightInd/>
      </w:pPr>
      <w:r>
        <w:t>In general, researchers are well-informed about intellectual property issues. The Georgian National Intellectual Property Center (Sakpatenti</w:t>
      </w:r>
      <w:r>
        <w:t>) organizes regular workshops with scientists and also with universities, which do not necessarily have a clear IP sharing policy in case of discovery. In addition, it has partnerships with the largest universities, where Technology Transfer Centers are av</w:t>
      </w:r>
      <w:r>
        <w:t xml:space="preserve">ailable to inform researchers. </w:t>
      </w:r>
    </w:p>
    <w:p w:rsidR="0020499E" w:rsidRDefault="0020499E"/>
    <w:p w:rsidR="0020499E" w:rsidRDefault="008E27E1">
      <w:pPr>
        <w:autoSpaceDE/>
        <w:autoSpaceDN/>
        <w:adjustRightInd/>
      </w:pPr>
      <w:r>
        <w:t>There is no clear consensus as to the causes of the decline in patent filings. Researchers consider that it is the lack of funding that prevents them from filing patent applications. Instead, they choose to publish their results: since the invention is mad</w:t>
      </w:r>
      <w:r>
        <w:t xml:space="preserve">e public, this decision forbids future patent issuances, but at least the inventors are credited of their discovery. The Georgian National Intellectual Property Center is more nuanced about this financial argument, because it considers that it has managed </w:t>
      </w:r>
      <w:r>
        <w:t xml:space="preserve">to keep the cost of domestic filings at a very low level. </w:t>
      </w:r>
    </w:p>
    <w:p w:rsidR="0020499E" w:rsidRDefault="0020499E">
      <w:pPr>
        <w:autoSpaceDE/>
        <w:autoSpaceDN/>
        <w:adjustRightInd/>
      </w:pPr>
    </w:p>
    <w:p w:rsidR="0020499E" w:rsidRDefault="008E27E1">
      <w:pPr>
        <w:autoSpaceDE/>
        <w:autoSpaceDN/>
        <w:adjustRightInd/>
      </w:pPr>
      <w:r>
        <w:t>Given the current financial situation of the research institutes, it is not clear that all can afford even a low filing fee. But the real problem is beyond this debate: in any case, the cost of th</w:t>
      </w:r>
      <w:r>
        <w:t>e international extension of domestic patents is out of reach: for Europe alone, it is around 20,000 USD. Considering that the commercial potential of a patent protection limited to the domestic market of a small country is negligible, this could also cont</w:t>
      </w:r>
      <w:r>
        <w:t xml:space="preserve">ribute to the decline in patent filings in Georgia. </w:t>
      </w:r>
    </w:p>
    <w:p w:rsidR="0020499E" w:rsidRDefault="0020499E">
      <w:pPr>
        <w:autoSpaceDE/>
        <w:autoSpaceDN/>
        <w:adjustRightInd/>
      </w:pPr>
    </w:p>
    <w:p w:rsidR="0020499E" w:rsidRDefault="008E27E1">
      <w:r>
        <w:t>Whilst the cost of the international extension of a domestic patent precludes any operation on a large scale, a few selected Georgian patents - those deemed to have the most promising commercial potenti</w:t>
      </w:r>
      <w:r>
        <w:t xml:space="preserve">al - should be subsidized. Who would make such selection remains an open question, however, although it seems that the newly established innovation agency is planning to establish a department dedicated to that very purpose. </w:t>
      </w:r>
    </w:p>
    <w:p w:rsidR="0020499E" w:rsidRDefault="0020499E">
      <w:pPr>
        <w:autoSpaceDE/>
        <w:autoSpaceDN/>
        <w:adjustRightInd/>
        <w:jc w:val="left"/>
      </w:pPr>
    </w:p>
    <w:p w:rsidR="0020499E" w:rsidRDefault="008E27E1">
      <w:pPr>
        <w:pStyle w:val="Heading2"/>
      </w:pPr>
      <w:bookmarkStart w:id="31" w:name="_Toc389396918"/>
      <w:r>
        <w:t>3.2 SWOT Analysis</w:t>
      </w:r>
      <w:bookmarkEnd w:id="31"/>
    </w:p>
    <w:p w:rsidR="0020499E" w:rsidRDefault="0020499E"/>
    <w:p w:rsidR="0020499E" w:rsidRDefault="008E27E1">
      <w:pPr>
        <w:pStyle w:val="Heading3"/>
      </w:pPr>
      <w:bookmarkStart w:id="32" w:name="_Toc389396919"/>
      <w:r>
        <w:t>3.2.1 Summ</w:t>
      </w:r>
      <w:r>
        <w:t>ary chart</w:t>
      </w:r>
      <w:bookmarkEnd w:id="32"/>
    </w:p>
    <w:p w:rsidR="0020499E" w:rsidRDefault="0020499E">
      <w:pPr>
        <w:rPr>
          <w:b/>
        </w:rPr>
      </w:pPr>
    </w:p>
    <w:p w:rsidR="0020499E" w:rsidRDefault="008E27E1">
      <w:r>
        <w:t xml:space="preserve">The chart below is a summary SWOT that reflects the state of Georgian research today. </w:t>
      </w:r>
    </w:p>
    <w:p w:rsidR="0020499E" w:rsidRDefault="0020499E"/>
    <w:p w:rsidR="0020499E" w:rsidRDefault="008E27E1">
      <w:r>
        <w:t xml:space="preserve">Comprehensive SWOT analyses have already been conducted on this subject in the past and to a large extent, their conclusions remain valid (see </w:t>
      </w:r>
      <w:r>
        <w:rPr>
          <w:i/>
        </w:rPr>
        <w:t>e.g.</w:t>
      </w:r>
      <w:r>
        <w:t xml:space="preserve"> the 2007 </w:t>
      </w:r>
      <w:r>
        <w:t xml:space="preserve">Policy Recommendations with the MoES). Thus, we have attempted to move one step further in the exercise by ranking issues in order of importance. </w:t>
      </w:r>
    </w:p>
    <w:p w:rsidR="0020499E" w:rsidRDefault="0020499E"/>
    <w:p w:rsidR="0020499E" w:rsidRDefault="008E27E1">
      <w:r>
        <w:t>Each quadrant of the SWOT we propose is limited to the four key issues that we have identified as the most i</w:t>
      </w:r>
      <w:r>
        <w:t xml:space="preserve">mportant in their respective dimensions. </w:t>
      </w:r>
    </w:p>
    <w:p w:rsidR="0020499E" w:rsidRDefault="0020499E"/>
    <w:tbl>
      <w:tblPr>
        <w:tblStyle w:val="TableGrid"/>
        <w:tblW w:w="0" w:type="auto"/>
        <w:tblInd w:w="108" w:type="dxa"/>
        <w:tblLook w:val="04A0"/>
      </w:tblPr>
      <w:tblGrid>
        <w:gridCol w:w="4804"/>
        <w:gridCol w:w="5085"/>
      </w:tblGrid>
      <w:tr w:rsidR="0020499E">
        <w:trPr>
          <w:trHeight w:val="1773"/>
        </w:trPr>
        <w:tc>
          <w:tcPr>
            <w:tcW w:w="4820" w:type="dxa"/>
            <w:tcBorders>
              <w:top w:val="single" w:sz="4" w:space="0" w:color="auto"/>
              <w:left w:val="single" w:sz="4" w:space="0" w:color="auto"/>
              <w:bottom w:val="single" w:sz="4" w:space="0" w:color="auto"/>
              <w:right w:val="single" w:sz="4" w:space="0" w:color="auto"/>
            </w:tcBorders>
            <w:hideMark/>
          </w:tcPr>
          <w:p w:rsidR="0020499E" w:rsidRDefault="008E27E1">
            <w:pPr>
              <w:ind w:left="214" w:hanging="148"/>
              <w:jc w:val="center"/>
              <w:rPr>
                <w:b/>
                <w:sz w:val="20"/>
                <w:szCs w:val="20"/>
                <w:lang w:val="en-US"/>
              </w:rPr>
            </w:pPr>
            <w:r>
              <w:rPr>
                <w:b/>
                <w:sz w:val="20"/>
                <w:szCs w:val="20"/>
                <w:lang w:val="en-US"/>
              </w:rPr>
              <w:lastRenderedPageBreak/>
              <w:t>Strengths</w:t>
            </w:r>
          </w:p>
          <w:p w:rsidR="0020499E" w:rsidRDefault="008E27E1">
            <w:pPr>
              <w:pStyle w:val="ListParagraph"/>
              <w:widowControl/>
              <w:numPr>
                <w:ilvl w:val="0"/>
                <w:numId w:val="5"/>
              </w:numPr>
              <w:autoSpaceDE/>
              <w:autoSpaceDN/>
              <w:adjustRightInd/>
              <w:ind w:left="176" w:hanging="241"/>
              <w:jc w:val="left"/>
              <w:rPr>
                <w:rFonts w:ascii="Verdana" w:hAnsi="Verdana"/>
                <w:sz w:val="20"/>
                <w:szCs w:val="20"/>
                <w:lang w:val="en-US"/>
              </w:rPr>
            </w:pPr>
            <w:r>
              <w:rPr>
                <w:rFonts w:ascii="Verdana" w:hAnsi="Verdana"/>
                <w:sz w:val="20"/>
                <w:szCs w:val="20"/>
                <w:lang w:val="en-US"/>
              </w:rPr>
              <w:t>Georgia has preserved fields of excellence</w:t>
            </w:r>
          </w:p>
          <w:p w:rsidR="0020499E" w:rsidRDefault="008E27E1">
            <w:pPr>
              <w:pStyle w:val="ListParagraph"/>
              <w:widowControl/>
              <w:numPr>
                <w:ilvl w:val="0"/>
                <w:numId w:val="5"/>
              </w:numPr>
              <w:autoSpaceDE/>
              <w:autoSpaceDN/>
              <w:adjustRightInd/>
              <w:ind w:left="176" w:hanging="241"/>
              <w:jc w:val="left"/>
              <w:rPr>
                <w:rFonts w:ascii="Verdana" w:hAnsi="Verdana"/>
                <w:sz w:val="20"/>
                <w:szCs w:val="20"/>
                <w:lang w:val="en-US"/>
              </w:rPr>
            </w:pPr>
            <w:r>
              <w:rPr>
                <w:rFonts w:ascii="Verdana" w:hAnsi="Verdana"/>
                <w:sz w:val="20"/>
                <w:szCs w:val="20"/>
                <w:lang w:val="en-US"/>
              </w:rPr>
              <w:t>Already existing pool of international experts</w:t>
            </w:r>
          </w:p>
          <w:p w:rsidR="0020499E" w:rsidRDefault="008E27E1">
            <w:pPr>
              <w:pStyle w:val="ListParagraph"/>
              <w:widowControl/>
              <w:numPr>
                <w:ilvl w:val="0"/>
                <w:numId w:val="5"/>
              </w:numPr>
              <w:autoSpaceDE/>
              <w:autoSpaceDN/>
              <w:adjustRightInd/>
              <w:ind w:left="176" w:hanging="241"/>
              <w:jc w:val="left"/>
              <w:rPr>
                <w:rFonts w:ascii="Verdana" w:hAnsi="Verdana"/>
                <w:sz w:val="20"/>
                <w:szCs w:val="20"/>
                <w:lang w:val="en-US"/>
              </w:rPr>
            </w:pPr>
            <w:r>
              <w:rPr>
                <w:rFonts w:ascii="Verdana" w:hAnsi="Verdana"/>
                <w:sz w:val="20"/>
                <w:szCs w:val="20"/>
                <w:lang w:val="en-US"/>
              </w:rPr>
              <w:t xml:space="preserve">Research community already used to competitive funding </w:t>
            </w:r>
          </w:p>
          <w:p w:rsidR="0020499E" w:rsidRDefault="008E27E1">
            <w:pPr>
              <w:pStyle w:val="ListParagraph"/>
              <w:widowControl/>
              <w:numPr>
                <w:ilvl w:val="0"/>
                <w:numId w:val="5"/>
              </w:numPr>
              <w:autoSpaceDE/>
              <w:autoSpaceDN/>
              <w:adjustRightInd/>
              <w:ind w:left="176" w:hanging="241"/>
              <w:jc w:val="left"/>
              <w:rPr>
                <w:rFonts w:ascii="Verdana" w:hAnsi="Verdana"/>
                <w:sz w:val="20"/>
                <w:szCs w:val="20"/>
                <w:lang w:val="en-US"/>
              </w:rPr>
            </w:pPr>
            <w:r>
              <w:rPr>
                <w:rFonts w:ascii="Verdana" w:hAnsi="Verdana"/>
                <w:sz w:val="20"/>
                <w:szCs w:val="20"/>
                <w:lang w:val="en-US"/>
              </w:rPr>
              <w:t xml:space="preserve">Researchers welcome an assessment of their work and </w:t>
            </w:r>
            <w:r>
              <w:rPr>
                <w:rFonts w:ascii="Verdana" w:hAnsi="Verdana"/>
                <w:sz w:val="20"/>
                <w:szCs w:val="20"/>
                <w:lang w:val="en-US"/>
              </w:rPr>
              <w:t>willing to change</w:t>
            </w:r>
          </w:p>
        </w:tc>
        <w:tc>
          <w:tcPr>
            <w:tcW w:w="5103" w:type="dxa"/>
            <w:tcBorders>
              <w:top w:val="single" w:sz="4" w:space="0" w:color="auto"/>
              <w:left w:val="single" w:sz="4" w:space="0" w:color="auto"/>
              <w:bottom w:val="single" w:sz="4" w:space="0" w:color="auto"/>
              <w:right w:val="single" w:sz="4" w:space="0" w:color="auto"/>
            </w:tcBorders>
            <w:hideMark/>
          </w:tcPr>
          <w:p w:rsidR="0020499E" w:rsidRDefault="008E27E1">
            <w:pPr>
              <w:ind w:left="214" w:hanging="148"/>
              <w:jc w:val="center"/>
              <w:rPr>
                <w:b/>
                <w:sz w:val="20"/>
                <w:szCs w:val="20"/>
              </w:rPr>
            </w:pPr>
            <w:r>
              <w:rPr>
                <w:b/>
                <w:sz w:val="20"/>
                <w:szCs w:val="20"/>
              </w:rPr>
              <w:t>Weaknesses</w:t>
            </w:r>
          </w:p>
          <w:p w:rsidR="0020499E" w:rsidRDefault="008E27E1">
            <w:pPr>
              <w:pStyle w:val="ListParagraph"/>
              <w:widowControl/>
              <w:numPr>
                <w:ilvl w:val="0"/>
                <w:numId w:val="6"/>
              </w:numPr>
              <w:autoSpaceDE/>
              <w:autoSpaceDN/>
              <w:adjustRightInd/>
              <w:ind w:left="176" w:hanging="241"/>
              <w:jc w:val="left"/>
              <w:rPr>
                <w:rFonts w:ascii="Verdana" w:hAnsi="Verdana"/>
                <w:sz w:val="20"/>
                <w:szCs w:val="20"/>
                <w:lang w:val="en-US"/>
              </w:rPr>
            </w:pPr>
            <w:r>
              <w:rPr>
                <w:rFonts w:ascii="Verdana" w:hAnsi="Verdana"/>
                <w:sz w:val="20"/>
                <w:szCs w:val="20"/>
                <w:lang w:val="en-US"/>
              </w:rPr>
              <w:t xml:space="preserve">Insufficient data to enable an informed research policy </w:t>
            </w:r>
          </w:p>
          <w:p w:rsidR="0020499E" w:rsidRDefault="008E27E1">
            <w:pPr>
              <w:pStyle w:val="ListParagraph"/>
              <w:widowControl/>
              <w:numPr>
                <w:ilvl w:val="0"/>
                <w:numId w:val="6"/>
              </w:numPr>
              <w:autoSpaceDE/>
              <w:autoSpaceDN/>
              <w:adjustRightInd/>
              <w:ind w:left="176" w:hanging="241"/>
              <w:jc w:val="left"/>
              <w:rPr>
                <w:rFonts w:ascii="Verdana" w:hAnsi="Verdana"/>
                <w:sz w:val="20"/>
                <w:szCs w:val="20"/>
                <w:lang w:val="en-US"/>
              </w:rPr>
            </w:pPr>
            <w:r>
              <w:rPr>
                <w:rFonts w:ascii="Verdana" w:eastAsiaTheme="minorHAnsi" w:hAnsi="Verdana"/>
                <w:sz w:val="20"/>
                <w:szCs w:val="20"/>
                <w:lang w:val="en-US"/>
              </w:rPr>
              <w:t xml:space="preserve">Superficial merger between research institutes and universities </w:t>
            </w:r>
          </w:p>
          <w:p w:rsidR="0020499E" w:rsidRDefault="008E27E1">
            <w:pPr>
              <w:pStyle w:val="ListParagraph"/>
              <w:widowControl/>
              <w:numPr>
                <w:ilvl w:val="0"/>
                <w:numId w:val="6"/>
              </w:numPr>
              <w:autoSpaceDE/>
              <w:autoSpaceDN/>
              <w:adjustRightInd/>
              <w:ind w:left="176" w:hanging="241"/>
              <w:jc w:val="left"/>
              <w:rPr>
                <w:rFonts w:ascii="Verdana" w:hAnsi="Verdana"/>
                <w:sz w:val="20"/>
                <w:szCs w:val="20"/>
                <w:lang w:val="en-US"/>
              </w:rPr>
            </w:pPr>
            <w:r>
              <w:rPr>
                <w:rFonts w:ascii="Verdana" w:hAnsi="Verdana"/>
                <w:sz w:val="20"/>
                <w:szCs w:val="20"/>
                <w:lang w:val="en-US"/>
              </w:rPr>
              <w:t>In a tuition-driven academic system, higher education institutions expect young professors to be in class</w:t>
            </w:r>
            <w:r>
              <w:rPr>
                <w:rFonts w:ascii="Verdana" w:hAnsi="Verdana"/>
                <w:sz w:val="20"/>
                <w:szCs w:val="20"/>
                <w:lang w:val="en-US"/>
              </w:rPr>
              <w:t>rooms rather than in labs</w:t>
            </w:r>
          </w:p>
          <w:p w:rsidR="0020499E" w:rsidRDefault="008E27E1">
            <w:pPr>
              <w:pStyle w:val="ListParagraph"/>
              <w:widowControl/>
              <w:numPr>
                <w:ilvl w:val="0"/>
                <w:numId w:val="6"/>
              </w:numPr>
              <w:autoSpaceDE/>
              <w:autoSpaceDN/>
              <w:adjustRightInd/>
              <w:ind w:left="176" w:hanging="241"/>
              <w:jc w:val="left"/>
              <w:rPr>
                <w:rFonts w:ascii="Verdana" w:hAnsi="Verdana"/>
                <w:sz w:val="20"/>
                <w:szCs w:val="20"/>
                <w:lang w:val="en-US"/>
              </w:rPr>
            </w:pPr>
            <w:r>
              <w:rPr>
                <w:rFonts w:ascii="Verdana" w:eastAsiaTheme="minorHAnsi" w:hAnsi="Verdana"/>
                <w:sz w:val="20"/>
                <w:szCs w:val="20"/>
                <w:lang w:val="en-GB"/>
              </w:rPr>
              <w:t>Researchers isolated from academia and innovation</w:t>
            </w:r>
          </w:p>
        </w:tc>
      </w:tr>
      <w:tr w:rsidR="0020499E">
        <w:trPr>
          <w:trHeight w:val="1691"/>
        </w:trPr>
        <w:tc>
          <w:tcPr>
            <w:tcW w:w="4820" w:type="dxa"/>
            <w:tcBorders>
              <w:top w:val="single" w:sz="4" w:space="0" w:color="auto"/>
              <w:left w:val="single" w:sz="4" w:space="0" w:color="auto"/>
              <w:bottom w:val="single" w:sz="4" w:space="0" w:color="auto"/>
              <w:right w:val="single" w:sz="4" w:space="0" w:color="auto"/>
            </w:tcBorders>
            <w:hideMark/>
          </w:tcPr>
          <w:p w:rsidR="0020499E" w:rsidRDefault="008E27E1">
            <w:pPr>
              <w:ind w:left="214" w:hanging="148"/>
              <w:jc w:val="center"/>
              <w:rPr>
                <w:b/>
                <w:sz w:val="20"/>
                <w:szCs w:val="20"/>
              </w:rPr>
            </w:pPr>
            <w:r>
              <w:rPr>
                <w:b/>
                <w:sz w:val="20"/>
                <w:szCs w:val="20"/>
              </w:rPr>
              <w:t>Opportunities</w:t>
            </w:r>
          </w:p>
          <w:p w:rsidR="0020499E" w:rsidRDefault="008E27E1">
            <w:pPr>
              <w:pStyle w:val="ListParagraph"/>
              <w:widowControl/>
              <w:numPr>
                <w:ilvl w:val="0"/>
                <w:numId w:val="5"/>
              </w:numPr>
              <w:autoSpaceDE/>
              <w:autoSpaceDN/>
              <w:adjustRightInd/>
              <w:ind w:left="176" w:hanging="241"/>
              <w:jc w:val="left"/>
              <w:rPr>
                <w:rFonts w:ascii="Verdana" w:hAnsi="Verdana"/>
                <w:sz w:val="20"/>
                <w:szCs w:val="20"/>
                <w:lang w:val="en-US"/>
              </w:rPr>
            </w:pPr>
            <w:r>
              <w:rPr>
                <w:rFonts w:ascii="Verdana" w:hAnsi="Verdana"/>
                <w:sz w:val="20"/>
                <w:szCs w:val="20"/>
                <w:lang w:val="en-US"/>
              </w:rPr>
              <w:t xml:space="preserve">Small country </w:t>
            </w:r>
          </w:p>
          <w:p w:rsidR="0020499E" w:rsidRDefault="008E27E1">
            <w:pPr>
              <w:pStyle w:val="ListParagraph"/>
              <w:widowControl/>
              <w:numPr>
                <w:ilvl w:val="0"/>
                <w:numId w:val="5"/>
              </w:numPr>
              <w:autoSpaceDE/>
              <w:autoSpaceDN/>
              <w:adjustRightInd/>
              <w:ind w:left="176" w:hanging="241"/>
              <w:jc w:val="left"/>
              <w:rPr>
                <w:rFonts w:ascii="Verdana" w:hAnsi="Verdana"/>
                <w:sz w:val="20"/>
                <w:szCs w:val="20"/>
                <w:lang w:val="en-US"/>
              </w:rPr>
            </w:pPr>
            <w:r>
              <w:rPr>
                <w:rFonts w:ascii="Verdana" w:hAnsi="Verdana"/>
                <w:sz w:val="20"/>
                <w:szCs w:val="20"/>
                <w:lang w:val="en-US"/>
              </w:rPr>
              <w:t xml:space="preserve">Research is a component of a current reform of the education system </w:t>
            </w:r>
          </w:p>
          <w:p w:rsidR="0020499E" w:rsidRDefault="008E27E1">
            <w:pPr>
              <w:pStyle w:val="ListParagraph"/>
              <w:numPr>
                <w:ilvl w:val="0"/>
                <w:numId w:val="6"/>
              </w:numPr>
              <w:ind w:left="176" w:hanging="241"/>
              <w:rPr>
                <w:rFonts w:ascii="Verdana" w:hAnsi="Verdana"/>
                <w:sz w:val="20"/>
                <w:szCs w:val="20"/>
                <w:lang w:val="en-US"/>
              </w:rPr>
            </w:pPr>
            <w:r>
              <w:rPr>
                <w:rFonts w:ascii="Verdana" w:hAnsi="Verdana"/>
                <w:sz w:val="20"/>
                <w:szCs w:val="20"/>
                <w:lang w:val="en-US"/>
              </w:rPr>
              <w:t>Georgia could internationalize its research assessment framework at the outset</w:t>
            </w:r>
          </w:p>
          <w:p w:rsidR="0020499E" w:rsidRDefault="008E27E1">
            <w:pPr>
              <w:pStyle w:val="ListParagraph"/>
              <w:widowControl/>
              <w:numPr>
                <w:ilvl w:val="0"/>
                <w:numId w:val="6"/>
              </w:numPr>
              <w:autoSpaceDE/>
              <w:autoSpaceDN/>
              <w:adjustRightInd/>
              <w:ind w:left="176" w:hanging="241"/>
              <w:jc w:val="left"/>
              <w:rPr>
                <w:rFonts w:ascii="Verdana" w:hAnsi="Verdana"/>
                <w:sz w:val="20"/>
                <w:szCs w:val="20"/>
                <w:lang w:val="en-US"/>
              </w:rPr>
            </w:pPr>
            <w:r>
              <w:rPr>
                <w:rFonts w:ascii="Verdana" w:hAnsi="Verdana"/>
                <w:sz w:val="20"/>
                <w:szCs w:val="20"/>
                <w:lang w:val="en-US"/>
              </w:rPr>
              <w:t>Research assessment may serve broader purposes</w:t>
            </w:r>
          </w:p>
        </w:tc>
        <w:tc>
          <w:tcPr>
            <w:tcW w:w="5103" w:type="dxa"/>
            <w:tcBorders>
              <w:top w:val="single" w:sz="4" w:space="0" w:color="auto"/>
              <w:left w:val="single" w:sz="4" w:space="0" w:color="auto"/>
              <w:bottom w:val="single" w:sz="4" w:space="0" w:color="auto"/>
              <w:right w:val="single" w:sz="4" w:space="0" w:color="auto"/>
            </w:tcBorders>
            <w:hideMark/>
          </w:tcPr>
          <w:p w:rsidR="0020499E" w:rsidRDefault="008E27E1">
            <w:pPr>
              <w:ind w:left="214" w:hanging="148"/>
              <w:jc w:val="center"/>
              <w:rPr>
                <w:b/>
                <w:sz w:val="20"/>
                <w:szCs w:val="20"/>
                <w:lang w:val="en-US"/>
              </w:rPr>
            </w:pPr>
            <w:r>
              <w:rPr>
                <w:b/>
                <w:sz w:val="20"/>
                <w:szCs w:val="20"/>
                <w:lang w:val="en-US"/>
              </w:rPr>
              <w:t>Threats</w:t>
            </w:r>
          </w:p>
          <w:p w:rsidR="0020499E" w:rsidRDefault="008E27E1">
            <w:pPr>
              <w:pStyle w:val="ListParagraph"/>
              <w:numPr>
                <w:ilvl w:val="0"/>
                <w:numId w:val="6"/>
              </w:numPr>
              <w:ind w:left="176" w:hanging="241"/>
              <w:rPr>
                <w:rFonts w:ascii="Verdana" w:eastAsiaTheme="minorHAnsi" w:hAnsi="Verdana"/>
                <w:sz w:val="20"/>
                <w:szCs w:val="20"/>
                <w:lang w:val="en-US"/>
              </w:rPr>
            </w:pPr>
            <w:r>
              <w:rPr>
                <w:rFonts w:ascii="Verdana" w:eastAsiaTheme="minorHAnsi" w:hAnsi="Verdana"/>
                <w:sz w:val="20"/>
                <w:szCs w:val="20"/>
                <w:lang w:val="en-US"/>
              </w:rPr>
              <w:t>Aging research community</w:t>
            </w:r>
          </w:p>
          <w:p w:rsidR="0020499E" w:rsidRDefault="008E27E1">
            <w:pPr>
              <w:pStyle w:val="ListParagraph"/>
              <w:widowControl/>
              <w:numPr>
                <w:ilvl w:val="0"/>
                <w:numId w:val="6"/>
              </w:numPr>
              <w:autoSpaceDE/>
              <w:autoSpaceDN/>
              <w:adjustRightInd/>
              <w:ind w:left="176" w:hanging="241"/>
              <w:jc w:val="left"/>
              <w:rPr>
                <w:rFonts w:ascii="Verdana" w:hAnsi="Verdana"/>
                <w:sz w:val="20"/>
                <w:szCs w:val="20"/>
                <w:lang w:val="en-US"/>
              </w:rPr>
            </w:pPr>
            <w:r>
              <w:rPr>
                <w:rFonts w:ascii="Verdana" w:hAnsi="Verdana"/>
                <w:sz w:val="20"/>
                <w:szCs w:val="20"/>
                <w:lang w:val="en-US"/>
              </w:rPr>
              <w:t xml:space="preserve">Critical underfunding of research </w:t>
            </w:r>
          </w:p>
          <w:p w:rsidR="0020499E" w:rsidRDefault="008E27E1">
            <w:pPr>
              <w:pStyle w:val="ListParagraph"/>
              <w:widowControl/>
              <w:numPr>
                <w:ilvl w:val="0"/>
                <w:numId w:val="6"/>
              </w:numPr>
              <w:autoSpaceDE/>
              <w:autoSpaceDN/>
              <w:adjustRightInd/>
              <w:ind w:left="176" w:hanging="241"/>
              <w:jc w:val="left"/>
              <w:rPr>
                <w:rFonts w:ascii="Verdana" w:hAnsi="Verdana"/>
                <w:sz w:val="20"/>
                <w:szCs w:val="20"/>
                <w:lang w:val="en-US"/>
              </w:rPr>
            </w:pPr>
            <w:r>
              <w:rPr>
                <w:rFonts w:ascii="Verdana" w:hAnsi="Verdana"/>
                <w:sz w:val="20"/>
                <w:szCs w:val="20"/>
                <w:lang w:val="en-US"/>
              </w:rPr>
              <w:t xml:space="preserve">Existing Ph.D system </w:t>
            </w:r>
          </w:p>
          <w:p w:rsidR="0020499E" w:rsidRDefault="008E27E1">
            <w:pPr>
              <w:pStyle w:val="ListParagraph"/>
              <w:widowControl/>
              <w:numPr>
                <w:ilvl w:val="0"/>
                <w:numId w:val="6"/>
              </w:numPr>
              <w:autoSpaceDE/>
              <w:autoSpaceDN/>
              <w:adjustRightInd/>
              <w:ind w:left="176" w:hanging="241"/>
              <w:jc w:val="left"/>
              <w:rPr>
                <w:rFonts w:ascii="Verdana" w:hAnsi="Verdana"/>
                <w:sz w:val="20"/>
                <w:szCs w:val="20"/>
                <w:lang w:val="en-US"/>
              </w:rPr>
            </w:pPr>
            <w:r>
              <w:rPr>
                <w:rFonts w:ascii="Verdana" w:hAnsi="Verdana"/>
                <w:sz w:val="20"/>
                <w:szCs w:val="20"/>
                <w:lang w:val="en-US"/>
              </w:rPr>
              <w:t>Inconsistent timing of current problems and reform agenda</w:t>
            </w:r>
          </w:p>
        </w:tc>
      </w:tr>
    </w:tbl>
    <w:p w:rsidR="0020499E" w:rsidRDefault="0020499E"/>
    <w:p w:rsidR="0020499E" w:rsidRDefault="008E27E1">
      <w:pPr>
        <w:pStyle w:val="Heading3"/>
      </w:pPr>
      <w:bookmarkStart w:id="33" w:name="_Toc389396920"/>
      <w:r>
        <w:t>3.2.2 Comments</w:t>
      </w:r>
      <w:bookmarkEnd w:id="33"/>
    </w:p>
    <w:p w:rsidR="0020499E" w:rsidRDefault="0020499E">
      <w:pPr>
        <w:autoSpaceDE/>
        <w:autoSpaceDN/>
        <w:adjustRightInd/>
        <w:jc w:val="left"/>
      </w:pPr>
    </w:p>
    <w:p w:rsidR="0020499E" w:rsidRDefault="008E27E1">
      <w:pPr>
        <w:pStyle w:val="ListParagraph"/>
        <w:numPr>
          <w:ilvl w:val="0"/>
          <w:numId w:val="33"/>
        </w:numPr>
        <w:jc w:val="left"/>
        <w:rPr>
          <w:rFonts w:ascii="Verdana" w:hAnsi="Verdana"/>
          <w:b/>
          <w:sz w:val="20"/>
          <w:szCs w:val="20"/>
        </w:rPr>
      </w:pPr>
      <w:r>
        <w:rPr>
          <w:rFonts w:ascii="Verdana" w:hAnsi="Verdana"/>
          <w:b/>
          <w:sz w:val="20"/>
          <w:szCs w:val="20"/>
        </w:rPr>
        <w:t>Strengths</w:t>
      </w:r>
    </w:p>
    <w:p w:rsidR="0020499E" w:rsidRDefault="0020499E">
      <w:pPr>
        <w:autoSpaceDE/>
        <w:autoSpaceDN/>
        <w:adjustRightInd/>
        <w:jc w:val="left"/>
        <w:rPr>
          <w:rFonts w:eastAsia="Times New Roman"/>
          <w:b/>
          <w:snapToGrid w:val="0"/>
          <w:lang w:bidi="he-IL"/>
        </w:rPr>
      </w:pPr>
    </w:p>
    <w:p w:rsidR="0020499E" w:rsidRDefault="008E27E1">
      <w:pPr>
        <w:autoSpaceDE/>
        <w:autoSpaceDN/>
        <w:adjustRightInd/>
      </w:pPr>
      <w:r>
        <w:rPr>
          <w:rFonts w:eastAsia="Times New Roman"/>
          <w:snapToGrid w:val="0"/>
          <w:lang w:bidi="he-IL"/>
        </w:rPr>
        <w:t>As noted in our bibliometric</w:t>
      </w:r>
      <w:r>
        <w:rPr>
          <w:rFonts w:eastAsia="Times New Roman"/>
          <w:snapToGrid w:val="0"/>
          <w:lang w:bidi="he-IL"/>
        </w:rPr>
        <w:t xml:space="preserve"> analysis, Georgia has managed to maintain some areas of excellence in research, notably in </w:t>
      </w:r>
      <w:r>
        <w:t>physics, mathematics and to a lesser extent in medical and health sciences, where the share of articles is greater than average in former Soviet countries.</w:t>
      </w:r>
    </w:p>
    <w:p w:rsidR="0020499E" w:rsidRDefault="0020499E">
      <w:pPr>
        <w:autoSpaceDE/>
        <w:autoSpaceDN/>
        <w:adjustRightInd/>
      </w:pPr>
    </w:p>
    <w:p w:rsidR="0020499E" w:rsidRDefault="008E27E1">
      <w:pPr>
        <w:autoSpaceDE/>
        <w:autoSpaceDN/>
        <w:adjustRightInd/>
      </w:pPr>
      <w:r>
        <w:t>These r</w:t>
      </w:r>
      <w:r>
        <w:t>esults are more than mere nice scientific remains of the soviet period: they reflect the dynamism of a research community that has continued to progress in spite of increasingly difficult working conditions. This spirit is the main strength of Georgian res</w:t>
      </w:r>
      <w:r>
        <w:t xml:space="preserve">earch today, and the main reason why there is something left to save.  </w:t>
      </w:r>
    </w:p>
    <w:p w:rsidR="0020499E" w:rsidRDefault="0020499E">
      <w:pPr>
        <w:autoSpaceDE/>
        <w:autoSpaceDN/>
        <w:adjustRightInd/>
      </w:pPr>
    </w:p>
    <w:p w:rsidR="0020499E" w:rsidRDefault="008E27E1">
      <w:pPr>
        <w:autoSpaceDE/>
        <w:autoSpaceDN/>
        <w:adjustRightInd/>
      </w:pPr>
      <w:r>
        <w:t>Also, in spite of the average age of the researchers and i</w:t>
      </w:r>
      <w:r>
        <w:rPr>
          <w:rFonts w:eastAsia="Times New Roman"/>
          <w:snapToGrid w:val="0"/>
          <w:lang w:bidi="he-IL"/>
        </w:rPr>
        <w:t>n sharp contrast</w:t>
      </w:r>
      <w:r>
        <w:t>with the research equipment and facilities, the Georgian research community is remarkably modern, in the sens</w:t>
      </w:r>
      <w:r>
        <w:t>e that it has already adopted the lifestyle of the researcher of the twenty first century, from peer review and bibliometric assessment to competitive funding.  In fact, all the researchers we met are prepared and willing to have their work assessed and th</w:t>
      </w:r>
      <w:r>
        <w:t xml:space="preserve">ey are welcoming a reform of the research. </w:t>
      </w:r>
    </w:p>
    <w:p w:rsidR="0020499E" w:rsidRDefault="0020499E">
      <w:pPr>
        <w:autoSpaceDE/>
        <w:autoSpaceDN/>
        <w:adjustRightInd/>
        <w:jc w:val="left"/>
      </w:pPr>
    </w:p>
    <w:p w:rsidR="0020499E" w:rsidRDefault="008E27E1">
      <w:pPr>
        <w:autoSpaceDE/>
        <w:autoSpaceDN/>
        <w:adjustRightInd/>
      </w:pPr>
      <w:r>
        <w:t>Finally, in spite of its shortcomings, the state grant system implemented by the SRNSF has resulted in the creation of a database of 5,000 experts from every field</w:t>
      </w:r>
      <w:r>
        <w:rPr>
          <w:lang w:val="en-GB"/>
        </w:rPr>
        <w:t xml:space="preserve"> to date</w:t>
      </w:r>
      <w:r>
        <w:t>, of which 4,000 are foreign experts</w:t>
      </w:r>
      <w:r>
        <w:rPr>
          <w:lang w:val="en-GB"/>
        </w:rPr>
        <w:t>. Th</w:t>
      </w:r>
      <w:r>
        <w:rPr>
          <w:lang w:val="en-GB"/>
        </w:rPr>
        <w:t>is al</w:t>
      </w:r>
      <w:r>
        <w:t xml:space="preserve">ready existing pool of national and international experts significantly broadens the options for a large-scale research assessment campaign. </w:t>
      </w:r>
    </w:p>
    <w:p w:rsidR="0020499E" w:rsidRDefault="0020499E">
      <w:pPr>
        <w:autoSpaceDE/>
        <w:autoSpaceDN/>
        <w:adjustRightInd/>
      </w:pPr>
    </w:p>
    <w:p w:rsidR="0020499E" w:rsidRDefault="008E27E1">
      <w:pPr>
        <w:pStyle w:val="ListParagraph"/>
        <w:numPr>
          <w:ilvl w:val="0"/>
          <w:numId w:val="33"/>
        </w:numPr>
        <w:jc w:val="left"/>
        <w:rPr>
          <w:rFonts w:ascii="Verdana" w:hAnsi="Verdana"/>
          <w:b/>
          <w:sz w:val="20"/>
          <w:szCs w:val="20"/>
        </w:rPr>
      </w:pPr>
      <w:r>
        <w:rPr>
          <w:rFonts w:ascii="Verdana" w:hAnsi="Verdana"/>
          <w:b/>
          <w:sz w:val="20"/>
          <w:szCs w:val="20"/>
        </w:rPr>
        <w:t>Weaknesses</w:t>
      </w:r>
    </w:p>
    <w:p w:rsidR="0020499E" w:rsidRDefault="0020499E">
      <w:pPr>
        <w:rPr>
          <w:rFonts w:eastAsia="Times New Roman"/>
          <w:b/>
          <w:snapToGrid w:val="0"/>
          <w:lang w:bidi="he-IL"/>
        </w:rPr>
      </w:pPr>
    </w:p>
    <w:p w:rsidR="0020499E" w:rsidRDefault="008E27E1">
      <w:pPr>
        <w:rPr>
          <w:rFonts w:eastAsiaTheme="minorHAnsi"/>
        </w:rPr>
      </w:pPr>
      <w:r>
        <w:rPr>
          <w:rFonts w:eastAsia="Times New Roman"/>
          <w:snapToGrid w:val="0"/>
          <w:lang w:bidi="he-IL"/>
        </w:rPr>
        <w:t xml:space="preserve">The most important weakness of Georgia’s research system is its organizational problem. In most </w:t>
      </w:r>
      <w:r>
        <w:rPr>
          <w:rFonts w:eastAsia="Times New Roman"/>
          <w:snapToGrid w:val="0"/>
          <w:lang w:bidi="he-IL"/>
        </w:rPr>
        <w:t xml:space="preserve">cases, the </w:t>
      </w:r>
      <w:r>
        <w:rPr>
          <w:rFonts w:eastAsiaTheme="minorHAnsi"/>
        </w:rPr>
        <w:t>merger with the universities remains superficial and as a result of their less favorable status, researcher positions remain financially unattractive.</w:t>
      </w:r>
      <w:r>
        <w:t xml:space="preserve"> This problem is crucial but due to budgetary constraints, it will be at best resolved graduall</w:t>
      </w:r>
      <w:r>
        <w:t xml:space="preserve">y, thus slowly. </w:t>
      </w:r>
    </w:p>
    <w:p w:rsidR="0020499E" w:rsidRDefault="0020499E">
      <w:pPr>
        <w:rPr>
          <w:rFonts w:eastAsiaTheme="minorHAnsi"/>
        </w:rPr>
      </w:pPr>
    </w:p>
    <w:p w:rsidR="0020499E" w:rsidRDefault="008E27E1">
      <w:pPr>
        <w:autoSpaceDE/>
        <w:autoSpaceDN/>
        <w:adjustRightInd/>
        <w:rPr>
          <w:rFonts w:eastAsiaTheme="minorHAnsi"/>
          <w:lang w:val="en-GB"/>
        </w:rPr>
      </w:pPr>
      <w:r>
        <w:rPr>
          <w:rFonts w:eastAsiaTheme="minorHAnsi"/>
          <w:lang w:val="en-GB"/>
        </w:rPr>
        <w:t>More generally, researchers are too isolated and not only from academia: they are also insufficiently connected to the innovation ecosystem and they are marginally associated to the reform of their own activity.</w:t>
      </w:r>
    </w:p>
    <w:p w:rsidR="0020499E" w:rsidRDefault="0020499E">
      <w:pPr>
        <w:autoSpaceDE/>
        <w:autoSpaceDN/>
        <w:adjustRightInd/>
        <w:rPr>
          <w:rFonts w:eastAsiaTheme="minorHAnsi"/>
          <w:lang w:val="en-GB"/>
        </w:rPr>
      </w:pPr>
    </w:p>
    <w:p w:rsidR="0020499E" w:rsidRDefault="008E27E1">
      <w:pPr>
        <w:autoSpaceDE/>
        <w:autoSpaceDN/>
        <w:adjustRightInd/>
      </w:pPr>
      <w:r>
        <w:rPr>
          <w:rFonts w:eastAsiaTheme="minorHAnsi"/>
        </w:rPr>
        <w:lastRenderedPageBreak/>
        <w:t>Also, the current t</w:t>
      </w:r>
      <w:r>
        <w:t>uition</w:t>
      </w:r>
      <w:r>
        <w:t>-driven academic system has perverse effects on research. To increase their funding, higher education institutions seek to increase the number of their students and this creates an inflation of additional teaching hours to which young professors are assign</w:t>
      </w:r>
      <w:r>
        <w:t>ed at the expense of their research activities.</w:t>
      </w:r>
    </w:p>
    <w:p w:rsidR="0020499E" w:rsidRDefault="0020499E"/>
    <w:p w:rsidR="0020499E" w:rsidRDefault="008E27E1">
      <w:pPr>
        <w:autoSpaceDE/>
        <w:autoSpaceDN/>
        <w:adjustRightInd/>
      </w:pPr>
      <w:r>
        <w:t>Finally, the fact that outside of the major bibliometric databases, too little data is presently available on research output leaves some areas outside of the radar and this prevents the elaboration of an in</w:t>
      </w:r>
      <w:r>
        <w:t>formed, targeted research policy.</w:t>
      </w:r>
    </w:p>
    <w:p w:rsidR="0020499E" w:rsidRDefault="0020499E">
      <w:pPr>
        <w:autoSpaceDE/>
        <w:autoSpaceDN/>
        <w:adjustRightInd/>
      </w:pPr>
    </w:p>
    <w:p w:rsidR="0020499E" w:rsidRDefault="008E27E1">
      <w:pPr>
        <w:pStyle w:val="ListParagraph"/>
        <w:numPr>
          <w:ilvl w:val="0"/>
          <w:numId w:val="33"/>
        </w:numPr>
        <w:jc w:val="left"/>
        <w:rPr>
          <w:rFonts w:ascii="Verdana" w:hAnsi="Verdana"/>
          <w:b/>
          <w:sz w:val="20"/>
          <w:szCs w:val="20"/>
        </w:rPr>
      </w:pPr>
      <w:r>
        <w:rPr>
          <w:rFonts w:ascii="Verdana" w:hAnsi="Verdana"/>
          <w:b/>
          <w:sz w:val="20"/>
          <w:szCs w:val="20"/>
        </w:rPr>
        <w:t>Opportunities</w:t>
      </w:r>
    </w:p>
    <w:p w:rsidR="0020499E" w:rsidRDefault="0020499E">
      <w:pPr>
        <w:pStyle w:val="ListParagraph"/>
        <w:ind w:left="786"/>
        <w:jc w:val="left"/>
        <w:rPr>
          <w:rFonts w:ascii="Verdana" w:hAnsi="Verdana"/>
          <w:b/>
          <w:sz w:val="20"/>
          <w:szCs w:val="20"/>
        </w:rPr>
      </w:pPr>
    </w:p>
    <w:p w:rsidR="0020499E" w:rsidRDefault="008E27E1">
      <w:pPr>
        <w:autoSpaceDE/>
        <w:autoSpaceDN/>
        <w:adjustRightInd/>
      </w:pPr>
      <w:r>
        <w:t xml:space="preserve">The small size of Georgia is clearly an opportunity from the point of view of research assessment, because a small research community enables fine-tuned and customized evaluation mechanisms. In the context of Georgia, each evaluation cycle, especially the </w:t>
      </w:r>
      <w:r>
        <w:t xml:space="preserve">first one, should also serve broader purposes, notably updating series of data on all forms of research output and on the researchers themselves. </w:t>
      </w:r>
    </w:p>
    <w:p w:rsidR="0020499E" w:rsidRDefault="0020499E">
      <w:pPr>
        <w:autoSpaceDE/>
        <w:autoSpaceDN/>
        <w:adjustRightInd/>
      </w:pPr>
    </w:p>
    <w:p w:rsidR="0020499E" w:rsidRDefault="008E27E1">
      <w:pPr>
        <w:autoSpaceDE/>
        <w:autoSpaceDN/>
        <w:adjustRightInd/>
      </w:pPr>
      <w:r>
        <w:t>Arguably, a small research community may complicate, if not compromise, objective peer review. Thus, Georgia</w:t>
      </w:r>
      <w:r>
        <w:t xml:space="preserve"> could envisage an internationalization of the peer-review component of its research evaluation framework at the outset, in order to ensure the legitimacy of the process and hence, its acceptability by the research community.  </w:t>
      </w:r>
    </w:p>
    <w:p w:rsidR="0020499E" w:rsidRDefault="0020499E">
      <w:pPr>
        <w:autoSpaceDE/>
        <w:autoSpaceDN/>
        <w:adjustRightInd/>
      </w:pPr>
    </w:p>
    <w:p w:rsidR="0020499E" w:rsidRDefault="008E27E1">
      <w:pPr>
        <w:autoSpaceDE/>
        <w:autoSpaceDN/>
        <w:adjustRightInd/>
      </w:pPr>
      <w:r>
        <w:t>Finally, the fact that the current research reform is part of a comprehensive reform of the higher education system is an opportunity, because both areas are obviously intertwined and their simultaneous design and implementation should enable a coordinatio</w:t>
      </w:r>
      <w:r>
        <w:t>n that will avoid setting adverse priorities in key areas such as the reform of the Ph.D system.</w:t>
      </w:r>
    </w:p>
    <w:p w:rsidR="0020499E" w:rsidRDefault="0020499E"/>
    <w:p w:rsidR="0020499E" w:rsidRDefault="008E27E1">
      <w:pPr>
        <w:pStyle w:val="ListParagraph"/>
        <w:numPr>
          <w:ilvl w:val="0"/>
          <w:numId w:val="33"/>
        </w:numPr>
        <w:rPr>
          <w:rFonts w:ascii="Verdana" w:hAnsi="Verdana"/>
          <w:b/>
          <w:sz w:val="20"/>
          <w:szCs w:val="20"/>
        </w:rPr>
      </w:pPr>
      <w:r>
        <w:rPr>
          <w:rFonts w:ascii="Verdana" w:hAnsi="Verdana"/>
          <w:b/>
          <w:sz w:val="20"/>
          <w:szCs w:val="20"/>
        </w:rPr>
        <w:t>Threats</w:t>
      </w:r>
    </w:p>
    <w:p w:rsidR="0020499E" w:rsidRDefault="0020499E">
      <w:pPr>
        <w:rPr>
          <w:rFonts w:eastAsia="Times New Roman"/>
          <w:b/>
          <w:snapToGrid w:val="0"/>
          <w:lang w:bidi="he-IL"/>
        </w:rPr>
      </w:pPr>
    </w:p>
    <w:p w:rsidR="0020499E" w:rsidRDefault="008E27E1">
      <w:pPr>
        <w:autoSpaceDE/>
        <w:autoSpaceDN/>
        <w:adjustRightInd/>
        <w:rPr>
          <w:rFonts w:cs="Arial"/>
          <w:lang w:eastAsia="fr-FR"/>
        </w:rPr>
      </w:pPr>
      <w:r>
        <w:t>Given the current research budget, it is fair to consider that Georgian research is no longer funded. This critical underfunding is well known, but i</w:t>
      </w:r>
      <w:r>
        <w:t>ts actual implications are seldom made explicit. Next to the question whether sufficient funding will be available in the future, there is now the question whether the research sector will then be able to fully resume its development, because a</w:t>
      </w:r>
      <w:r>
        <w:rPr>
          <w:rFonts w:eastAsia="Times New Roman"/>
          <w:snapToGrid w:val="0"/>
          <w:lang w:bidi="he-IL"/>
        </w:rPr>
        <w:t xml:space="preserve">nother </w:t>
      </w:r>
      <w:r>
        <w:rPr>
          <w:rFonts w:eastAsiaTheme="minorHAnsi"/>
        </w:rPr>
        <w:t>threa</w:t>
      </w:r>
      <w:r>
        <w:rPr>
          <w:rFonts w:eastAsiaTheme="minorHAnsi"/>
        </w:rPr>
        <w:t xml:space="preserve">t that faces research in Georgia today </w:t>
      </w:r>
      <w:r>
        <w:rPr>
          <w:rFonts w:eastAsia="Times New Roman"/>
          <w:snapToGrid w:val="0"/>
          <w:lang w:bidi="he-IL"/>
        </w:rPr>
        <w:t xml:space="preserve">is the predominantly aging research </w:t>
      </w:r>
      <w:r>
        <w:rPr>
          <w:rFonts w:eastAsiaTheme="minorHAnsi"/>
        </w:rPr>
        <w:t>community.</w:t>
      </w:r>
    </w:p>
    <w:p w:rsidR="0020499E" w:rsidRDefault="0020499E">
      <w:pPr>
        <w:autoSpaceDE/>
        <w:autoSpaceDN/>
        <w:adjustRightInd/>
        <w:rPr>
          <w:rFonts w:cs="Arial"/>
          <w:lang w:eastAsia="fr-FR"/>
        </w:rPr>
      </w:pPr>
    </w:p>
    <w:p w:rsidR="0020499E" w:rsidRDefault="008E27E1">
      <w:pPr>
        <w:autoSpaceDE/>
        <w:autoSpaceDN/>
        <w:adjustRightInd/>
      </w:pPr>
      <w:r>
        <w:rPr>
          <w:rFonts w:cs="Arial"/>
          <w:lang w:eastAsia="fr-FR"/>
        </w:rPr>
        <w:t xml:space="preserve">Due to the nature and history of </w:t>
      </w:r>
      <w:r>
        <w:t>Georgian research, this de</w:t>
      </w:r>
      <w:r>
        <w:rPr>
          <w:rFonts w:cs="Arial"/>
          <w:lang w:eastAsia="fr-FR"/>
        </w:rPr>
        <w:t xml:space="preserve">mographic problem </w:t>
      </w:r>
      <w:r>
        <w:t>goes well beyond a matter of succession: it is a matter of transmission. Invaluable knowledg</w:t>
      </w:r>
      <w:r>
        <w:t xml:space="preserve">e, expertise and methods developed in research institutes in the past decades will be lost when these researcher retire, for lack of </w:t>
      </w:r>
      <w:r>
        <w:rPr>
          <w:rFonts w:eastAsiaTheme="minorHAnsi"/>
        </w:rPr>
        <w:t xml:space="preserve">young scientists willing to continue their work for </w:t>
      </w:r>
      <w:r>
        <w:t xml:space="preserve">an unacceptable salary and limited career prospects. </w:t>
      </w:r>
    </w:p>
    <w:p w:rsidR="0020499E" w:rsidRDefault="0020499E">
      <w:pPr>
        <w:rPr>
          <w:rFonts w:eastAsiaTheme="minorHAnsi"/>
        </w:rPr>
      </w:pPr>
    </w:p>
    <w:p w:rsidR="0020499E" w:rsidRDefault="008E27E1">
      <w:pPr>
        <w:autoSpaceDE/>
        <w:autoSpaceDN/>
        <w:adjustRightInd/>
      </w:pPr>
      <w:r>
        <w:t>An aggravating f</w:t>
      </w:r>
      <w:r>
        <w:t>actor is the current organization of the Ph.D system, notably its disconnection from the research institutes. The question of the replacement of the retiring researchers is thus also a question of skills: career choices aside, there is presently a scarcity</w:t>
      </w:r>
      <w:r>
        <w:t xml:space="preserve"> of young scientists capable of taking over. </w:t>
      </w:r>
    </w:p>
    <w:p w:rsidR="0020499E" w:rsidRDefault="0020499E">
      <w:pPr>
        <w:autoSpaceDE/>
        <w:autoSpaceDN/>
        <w:adjustRightInd/>
      </w:pPr>
    </w:p>
    <w:p w:rsidR="0020499E" w:rsidRDefault="008E27E1">
      <w:pPr>
        <w:autoSpaceDE/>
        <w:autoSpaceDN/>
        <w:adjustRightInd/>
      </w:pPr>
      <w:r>
        <w:t>Last but not least, the legislative and regulatory agenda is a threat</w:t>
      </w:r>
      <w:r>
        <w:rPr>
          <w:i/>
        </w:rPr>
        <w:t xml:space="preserve"> per se</w:t>
      </w:r>
      <w:r>
        <w:t>: if adequate measures aimed at ensuring the survival and the development of Georgian research are eventually decided and implemented</w:t>
      </w:r>
      <w:r>
        <w:t xml:space="preserve">, they may come too late.  </w:t>
      </w:r>
    </w:p>
    <w:p w:rsidR="0020499E" w:rsidRDefault="008E27E1">
      <w:pPr>
        <w:autoSpaceDE/>
        <w:autoSpaceDN/>
        <w:adjustRightInd/>
        <w:rPr>
          <w:b/>
          <w:sz w:val="32"/>
          <w:szCs w:val="32"/>
        </w:rPr>
      </w:pPr>
      <w:r>
        <w:rPr>
          <w:b/>
          <w:sz w:val="32"/>
          <w:szCs w:val="32"/>
        </w:rPr>
        <w:br w:type="page"/>
      </w:r>
    </w:p>
    <w:p w:rsidR="0020499E" w:rsidRDefault="008E27E1">
      <w:pPr>
        <w:pStyle w:val="Heading1"/>
        <w:numPr>
          <w:ilvl w:val="0"/>
          <w:numId w:val="0"/>
        </w:numPr>
        <w:ind w:left="360" w:hanging="360"/>
      </w:pPr>
      <w:bookmarkStart w:id="34" w:name="_Toc389396921"/>
      <w:r>
        <w:lastRenderedPageBreak/>
        <w:t>4. RESEARCH ASSESSMENT MECHANISMS</w:t>
      </w:r>
      <w:bookmarkEnd w:id="34"/>
    </w:p>
    <w:p w:rsidR="0020499E" w:rsidRDefault="0020499E"/>
    <w:p w:rsidR="0020499E" w:rsidRDefault="008E27E1">
      <w:pPr>
        <w:pStyle w:val="Heading2"/>
      </w:pPr>
      <w:bookmarkStart w:id="35" w:name="_Toc389396922"/>
      <w:r>
        <w:t>4.1 Overview</w:t>
      </w:r>
      <w:bookmarkEnd w:id="35"/>
    </w:p>
    <w:p w:rsidR="0020499E" w:rsidRDefault="0020499E">
      <w:pPr>
        <w:autoSpaceDE/>
        <w:autoSpaceDN/>
        <w:adjustRightInd/>
      </w:pPr>
    </w:p>
    <w:p w:rsidR="0020499E" w:rsidRDefault="008E27E1">
      <w:pPr>
        <w:pStyle w:val="Heading3"/>
      </w:pPr>
      <w:bookmarkStart w:id="36" w:name="_Toc389396923"/>
      <w:r>
        <w:t>4.1.1 The ingredients</w:t>
      </w:r>
      <w:bookmarkEnd w:id="36"/>
    </w:p>
    <w:p w:rsidR="0020499E" w:rsidRDefault="0020499E">
      <w:pPr>
        <w:autoSpaceDE/>
        <w:autoSpaceDN/>
        <w:adjustRightInd/>
      </w:pPr>
    </w:p>
    <w:p w:rsidR="0020499E" w:rsidRDefault="008E27E1">
      <w:pPr>
        <w:rPr>
          <w:rFonts w:cs="Times New Roman"/>
        </w:rPr>
      </w:pPr>
      <w:r>
        <w:rPr>
          <w:rFonts w:cs="Times New Roman"/>
        </w:rPr>
        <w:t xml:space="preserve">The assessment of scientific research boils down to two methods: peer review and indicators. </w:t>
      </w:r>
      <w:r>
        <w:t>V</w:t>
      </w:r>
      <w:r>
        <w:rPr>
          <w:rFonts w:cs="Times New Roman"/>
        </w:rPr>
        <w:t>ery few countries rely exclusively on a single method, howev</w:t>
      </w:r>
      <w:r>
        <w:rPr>
          <w:rFonts w:cs="Times New Roman"/>
        </w:rPr>
        <w:t xml:space="preserve">er, and this hybrid approach is symptomatic of the tensions inherent to evaluation policies and their underlying trade-offs. </w:t>
      </w:r>
    </w:p>
    <w:p w:rsidR="0020499E" w:rsidRDefault="0020499E">
      <w:pPr>
        <w:rPr>
          <w:rFonts w:cs="Times New Roman"/>
        </w:rPr>
      </w:pPr>
    </w:p>
    <w:p w:rsidR="0020499E" w:rsidRDefault="008E27E1">
      <w:pPr>
        <w:rPr>
          <w:rFonts w:cs="Times New Roman"/>
        </w:rPr>
      </w:pPr>
      <w:r>
        <w:rPr>
          <w:rFonts w:cs="Times New Roman"/>
        </w:rPr>
        <w:t>From a national evaluation framework to another, nuances are thus found:</w:t>
      </w:r>
    </w:p>
    <w:p w:rsidR="0020499E" w:rsidRDefault="0020499E">
      <w:pPr>
        <w:rPr>
          <w:rFonts w:cs="Times New Roman"/>
        </w:rPr>
      </w:pPr>
    </w:p>
    <w:p w:rsidR="0020499E" w:rsidRDefault="008E27E1">
      <w:pPr>
        <w:pStyle w:val="ListParagraph"/>
        <w:numPr>
          <w:ilvl w:val="0"/>
          <w:numId w:val="6"/>
        </w:numPr>
        <w:rPr>
          <w:rFonts w:ascii="Verdana" w:hAnsi="Verdana" w:cs="Times New Roman"/>
          <w:sz w:val="20"/>
          <w:szCs w:val="20"/>
        </w:rPr>
      </w:pPr>
      <w:r>
        <w:rPr>
          <w:rFonts w:ascii="Verdana" w:hAnsi="Verdana"/>
          <w:sz w:val="20"/>
          <w:szCs w:val="20"/>
        </w:rPr>
        <w:t xml:space="preserve">In the relative weight of </w:t>
      </w:r>
      <w:r>
        <w:rPr>
          <w:rFonts w:ascii="Verdana" w:hAnsi="Verdana" w:cs="Times New Roman"/>
          <w:sz w:val="20"/>
          <w:szCs w:val="20"/>
        </w:rPr>
        <w:t>peer review and indicators;</w:t>
      </w:r>
    </w:p>
    <w:p w:rsidR="0020499E" w:rsidRDefault="008E27E1">
      <w:pPr>
        <w:pStyle w:val="ListParagraph"/>
        <w:numPr>
          <w:ilvl w:val="0"/>
          <w:numId w:val="6"/>
        </w:numPr>
        <w:rPr>
          <w:rFonts w:ascii="Verdana" w:hAnsi="Verdana" w:cs="Times New Roman"/>
          <w:sz w:val="20"/>
          <w:szCs w:val="20"/>
        </w:rPr>
      </w:pPr>
      <w:r>
        <w:rPr>
          <w:rFonts w:ascii="Verdana" w:hAnsi="Verdana" w:cs="Times New Roman"/>
          <w:sz w:val="20"/>
          <w:szCs w:val="20"/>
        </w:rPr>
        <w:t xml:space="preserve">In the actual consequences of such assessment on research. </w:t>
      </w:r>
    </w:p>
    <w:p w:rsidR="0020499E" w:rsidRDefault="0020499E">
      <w:pPr>
        <w:ind w:left="360"/>
        <w:rPr>
          <w:rFonts w:cs="Times New Roman"/>
        </w:rPr>
      </w:pPr>
    </w:p>
    <w:p w:rsidR="0020499E" w:rsidRDefault="008E27E1">
      <w:pPr>
        <w:rPr>
          <w:rFonts w:cs="Times New Roman"/>
        </w:rPr>
      </w:pPr>
      <w:r>
        <w:rPr>
          <w:rFonts w:cs="Times New Roman"/>
        </w:rPr>
        <w:t xml:space="preserve">Depending on the prevalent ingredient, evaluation frameworks are broken down into two broad categories (Louvel, S. &amp; Lange, S., 2010): </w:t>
      </w:r>
    </w:p>
    <w:p w:rsidR="0020499E" w:rsidRDefault="0020499E">
      <w:pPr>
        <w:rPr>
          <w:rFonts w:cs="Times New Roman"/>
        </w:rPr>
      </w:pPr>
    </w:p>
    <w:p w:rsidR="0020499E" w:rsidRDefault="008E27E1">
      <w:pPr>
        <w:pStyle w:val="ListParagraph"/>
        <w:numPr>
          <w:ilvl w:val="0"/>
          <w:numId w:val="13"/>
        </w:numPr>
        <w:rPr>
          <w:rFonts w:ascii="Verdana" w:hAnsi="Verdana" w:cs="Times New Roman"/>
          <w:sz w:val="20"/>
          <w:szCs w:val="20"/>
        </w:rPr>
      </w:pPr>
      <w:r>
        <w:rPr>
          <w:rFonts w:ascii="Verdana" w:hAnsi="Verdana" w:cs="Times New Roman"/>
          <w:sz w:val="20"/>
          <w:szCs w:val="20"/>
        </w:rPr>
        <w:t>« </w:t>
      </w:r>
      <w:r>
        <w:rPr>
          <w:rFonts w:ascii="Verdana" w:hAnsi="Verdana" w:cs="Times New Roman"/>
          <w:b/>
          <w:sz w:val="20"/>
          <w:szCs w:val="20"/>
        </w:rPr>
        <w:t>formative</w:t>
      </w:r>
      <w:r>
        <w:rPr>
          <w:rFonts w:ascii="Verdana" w:hAnsi="Verdana" w:cs="Times New Roman"/>
          <w:sz w:val="20"/>
          <w:szCs w:val="20"/>
        </w:rPr>
        <w:t xml:space="preserve"> », </w:t>
      </w:r>
      <w:r>
        <w:rPr>
          <w:rFonts w:ascii="Verdana" w:hAnsi="Verdana" w:cs="Times New Roman"/>
          <w:i/>
          <w:sz w:val="20"/>
          <w:szCs w:val="20"/>
        </w:rPr>
        <w:t>i.e.</w:t>
      </w:r>
      <w:r>
        <w:rPr>
          <w:rFonts w:ascii="Verdana" w:hAnsi="Verdana" w:cs="Times New Roman"/>
          <w:sz w:val="20"/>
          <w:szCs w:val="20"/>
        </w:rPr>
        <w:t xml:space="preserve"> with a prevalence of informed, peer-review approaches leading to a qualitative judgment expressed in the form of recommendations and / or grade(s) ;</w:t>
      </w:r>
    </w:p>
    <w:p w:rsidR="0020499E" w:rsidRDefault="008E27E1">
      <w:pPr>
        <w:pStyle w:val="ListParagraph"/>
        <w:numPr>
          <w:ilvl w:val="0"/>
          <w:numId w:val="13"/>
        </w:numPr>
        <w:rPr>
          <w:rFonts w:ascii="Verdana" w:hAnsi="Verdana" w:cs="Times New Roman"/>
          <w:sz w:val="20"/>
          <w:szCs w:val="20"/>
        </w:rPr>
      </w:pPr>
      <w:r>
        <w:rPr>
          <w:rFonts w:ascii="Verdana" w:hAnsi="Verdana" w:cs="Times New Roman"/>
          <w:sz w:val="20"/>
          <w:szCs w:val="20"/>
        </w:rPr>
        <w:t xml:space="preserve">« </w:t>
      </w:r>
      <w:r>
        <w:rPr>
          <w:rFonts w:ascii="Verdana" w:hAnsi="Verdana" w:cs="Times New Roman"/>
          <w:b/>
          <w:sz w:val="20"/>
          <w:szCs w:val="20"/>
        </w:rPr>
        <w:t>summative</w:t>
      </w:r>
      <w:r>
        <w:rPr>
          <w:rFonts w:ascii="Verdana" w:hAnsi="Verdana" w:cs="Times New Roman"/>
          <w:sz w:val="20"/>
          <w:szCs w:val="20"/>
        </w:rPr>
        <w:t xml:space="preserve"> », </w:t>
      </w:r>
      <w:r>
        <w:rPr>
          <w:rFonts w:ascii="Verdana" w:hAnsi="Verdana" w:cs="Times New Roman"/>
          <w:i/>
          <w:sz w:val="20"/>
          <w:szCs w:val="20"/>
        </w:rPr>
        <w:t xml:space="preserve">i.e. </w:t>
      </w:r>
      <w:r>
        <w:rPr>
          <w:rFonts w:ascii="Verdana" w:hAnsi="Verdana" w:cs="Times New Roman"/>
          <w:sz w:val="20"/>
          <w:szCs w:val="20"/>
        </w:rPr>
        <w:t xml:space="preserve">with a prevalence of indicators leading to a quantitative evaluation. </w:t>
      </w:r>
    </w:p>
    <w:p w:rsidR="0020499E" w:rsidRDefault="0020499E">
      <w:pPr>
        <w:ind w:left="360"/>
        <w:rPr>
          <w:rFonts w:cs="Times New Roman"/>
        </w:rPr>
      </w:pPr>
    </w:p>
    <w:p w:rsidR="0020499E" w:rsidRDefault="008E27E1">
      <w:pPr>
        <w:rPr>
          <w:rFonts w:cs="Times New Roman"/>
        </w:rPr>
      </w:pPr>
      <w:r>
        <w:rPr>
          <w:rFonts w:cs="Times New Roman"/>
        </w:rPr>
        <w:t>These two cate</w:t>
      </w:r>
      <w:r>
        <w:rPr>
          <w:rFonts w:cs="Times New Roman"/>
        </w:rPr>
        <w:t>gories of frameworks are more or less relevant depending on the purpose(s) they serve, such as documenting and updating on the state of research, channeling and shaping research and rewarding excellence / sanctioning ineffective research, etc.</w:t>
      </w:r>
    </w:p>
    <w:p w:rsidR="0020499E" w:rsidRDefault="0020499E">
      <w:pPr>
        <w:rPr>
          <w:rFonts w:cs="Times New Roman"/>
        </w:rPr>
      </w:pPr>
    </w:p>
    <w:p w:rsidR="0020499E" w:rsidRDefault="008E27E1">
      <w:pPr>
        <w:rPr>
          <w:rFonts w:cs="Times New Roman"/>
        </w:rPr>
      </w:pPr>
      <w:r>
        <w:rPr>
          <w:rFonts w:cs="Times New Roman"/>
        </w:rPr>
        <w:t>The type of</w:t>
      </w:r>
      <w:r>
        <w:rPr>
          <w:rFonts w:cs="Times New Roman"/>
        </w:rPr>
        <w:t xml:space="preserve"> knowledge on which they rely are characterized by five attributes (Gläser et </w:t>
      </w:r>
      <w:r>
        <w:rPr>
          <w:rFonts w:cs="Times New Roman"/>
          <w:i/>
          <w:iCs/>
        </w:rPr>
        <w:t>al</w:t>
      </w:r>
      <w:r>
        <w:rPr>
          <w:rFonts w:cs="Times New Roman"/>
        </w:rPr>
        <w:t xml:space="preserve">., 2010): </w:t>
      </w:r>
    </w:p>
    <w:p w:rsidR="0020499E" w:rsidRDefault="0020499E">
      <w:pPr>
        <w:rPr>
          <w:rFonts w:cs="Times New Roman"/>
        </w:rPr>
      </w:pPr>
    </w:p>
    <w:p w:rsidR="0020499E" w:rsidRDefault="008E27E1">
      <w:pPr>
        <w:pStyle w:val="ListParagraph"/>
        <w:numPr>
          <w:ilvl w:val="0"/>
          <w:numId w:val="24"/>
        </w:numPr>
        <w:rPr>
          <w:rFonts w:ascii="Verdana" w:hAnsi="Verdana"/>
          <w:sz w:val="20"/>
          <w:szCs w:val="20"/>
        </w:rPr>
      </w:pPr>
      <w:r>
        <w:rPr>
          <w:rFonts w:ascii="Verdana" w:hAnsi="Verdana"/>
          <w:sz w:val="20"/>
          <w:szCs w:val="20"/>
        </w:rPr>
        <w:t xml:space="preserve">Rich (level of detail, comprehensiveness), </w:t>
      </w:r>
    </w:p>
    <w:p w:rsidR="0020499E" w:rsidRDefault="008E27E1">
      <w:pPr>
        <w:pStyle w:val="ListParagraph"/>
        <w:numPr>
          <w:ilvl w:val="0"/>
          <w:numId w:val="24"/>
        </w:numPr>
        <w:rPr>
          <w:rFonts w:ascii="Verdana" w:hAnsi="Verdana"/>
          <w:sz w:val="20"/>
          <w:szCs w:val="20"/>
        </w:rPr>
      </w:pPr>
      <w:r>
        <w:rPr>
          <w:rFonts w:ascii="Verdana" w:hAnsi="Verdana"/>
          <w:sz w:val="20"/>
          <w:szCs w:val="20"/>
        </w:rPr>
        <w:t xml:space="preserve">Accurate (reflecting the actual quality of the research), </w:t>
      </w:r>
    </w:p>
    <w:p w:rsidR="0020499E" w:rsidRDefault="008E27E1">
      <w:pPr>
        <w:pStyle w:val="ListParagraph"/>
        <w:numPr>
          <w:ilvl w:val="0"/>
          <w:numId w:val="24"/>
        </w:numPr>
        <w:rPr>
          <w:rFonts w:ascii="Verdana" w:hAnsi="Verdana"/>
          <w:sz w:val="20"/>
          <w:szCs w:val="20"/>
        </w:rPr>
      </w:pPr>
      <w:r>
        <w:rPr>
          <w:rFonts w:ascii="Verdana" w:hAnsi="Verdana"/>
          <w:sz w:val="20"/>
          <w:szCs w:val="20"/>
        </w:rPr>
        <w:t xml:space="preserve">Up-to-date (assessment periodicity), </w:t>
      </w:r>
    </w:p>
    <w:p w:rsidR="0020499E" w:rsidRDefault="008E27E1">
      <w:pPr>
        <w:pStyle w:val="ListParagraph"/>
        <w:numPr>
          <w:ilvl w:val="0"/>
          <w:numId w:val="24"/>
        </w:numPr>
        <w:rPr>
          <w:rFonts w:ascii="Verdana" w:hAnsi="Verdana"/>
          <w:sz w:val="20"/>
          <w:szCs w:val="20"/>
        </w:rPr>
      </w:pPr>
      <w:r>
        <w:rPr>
          <w:rFonts w:ascii="Verdana" w:hAnsi="Verdana"/>
          <w:sz w:val="20"/>
          <w:szCs w:val="20"/>
        </w:rPr>
        <w:t>Comparable (grades bein</w:t>
      </w:r>
      <w:r>
        <w:rPr>
          <w:rFonts w:ascii="Verdana" w:hAnsi="Verdana"/>
          <w:sz w:val="20"/>
          <w:szCs w:val="20"/>
        </w:rPr>
        <w:t>g more comparable than qualitative conclusions) and</w:t>
      </w:r>
    </w:p>
    <w:p w:rsidR="0020499E" w:rsidRDefault="008E27E1">
      <w:pPr>
        <w:pStyle w:val="ListParagraph"/>
        <w:numPr>
          <w:ilvl w:val="0"/>
          <w:numId w:val="24"/>
        </w:numPr>
        <w:rPr>
          <w:rFonts w:ascii="Verdana" w:hAnsi="Verdana" w:cs="Times New Roman"/>
          <w:sz w:val="20"/>
          <w:szCs w:val="20"/>
        </w:rPr>
      </w:pPr>
      <w:r>
        <w:rPr>
          <w:rFonts w:ascii="Verdana" w:hAnsi="Verdana"/>
          <w:sz w:val="20"/>
          <w:szCs w:val="20"/>
        </w:rPr>
        <w:t>Legitimate (in the eyes of the academic community that is being assessed).</w:t>
      </w:r>
    </w:p>
    <w:p w:rsidR="0020499E" w:rsidRDefault="0020499E">
      <w:pPr>
        <w:rPr>
          <w:rFonts w:cs="Times New Roman"/>
        </w:rPr>
      </w:pPr>
    </w:p>
    <w:p w:rsidR="0020499E" w:rsidRDefault="008E27E1">
      <w:pPr>
        <w:rPr>
          <w:rFonts w:cs="Times New Roman"/>
        </w:rPr>
      </w:pPr>
      <w:r>
        <w:rPr>
          <w:rFonts w:cs="Times New Roman"/>
        </w:rPr>
        <w:t xml:space="preserve">The table below presents the quality of each type of evaluation methods according to each attribute. It shows that the richness </w:t>
      </w:r>
      <w:r>
        <w:rPr>
          <w:rFonts w:cs="Times New Roman"/>
        </w:rPr>
        <w:t>of an evaluation is only achieved at the expense of its comparability and vice-versa:</w:t>
      </w:r>
    </w:p>
    <w:p w:rsidR="0020499E" w:rsidRDefault="0020499E">
      <w:pPr>
        <w:rPr>
          <w:rFonts w:cs="Times New Roman"/>
        </w:rPr>
      </w:pPr>
    </w:p>
    <w:tbl>
      <w:tblPr>
        <w:tblStyle w:val="TableGrid"/>
        <w:tblW w:w="10349" w:type="dxa"/>
        <w:tblInd w:w="108" w:type="dxa"/>
        <w:tblLayout w:type="fixed"/>
        <w:tblLook w:val="04A0"/>
      </w:tblPr>
      <w:tblGrid>
        <w:gridCol w:w="3261"/>
        <w:gridCol w:w="992"/>
        <w:gridCol w:w="850"/>
        <w:gridCol w:w="1134"/>
        <w:gridCol w:w="1276"/>
        <w:gridCol w:w="1418"/>
        <w:gridCol w:w="1418"/>
      </w:tblGrid>
      <w:tr w:rsidR="0020499E">
        <w:tc>
          <w:tcPr>
            <w:tcW w:w="3261" w:type="dxa"/>
            <w:tcBorders>
              <w:tl2br w:val="single" w:sz="4" w:space="0" w:color="auto"/>
            </w:tcBorders>
          </w:tcPr>
          <w:p w:rsidR="0020499E" w:rsidRDefault="008E27E1">
            <w:pPr>
              <w:ind w:right="-10"/>
              <w:jc w:val="right"/>
              <w:rPr>
                <w:b/>
                <w:sz w:val="20"/>
                <w:szCs w:val="20"/>
              </w:rPr>
            </w:pPr>
            <w:r>
              <w:rPr>
                <w:lang w:val="en-US"/>
              </w:rPr>
              <w:br w:type="page"/>
            </w:r>
            <w:r>
              <w:rPr>
                <w:b/>
                <w:sz w:val="20"/>
                <w:szCs w:val="20"/>
              </w:rPr>
              <w:t>ATTRIBUTE</w:t>
            </w:r>
          </w:p>
          <w:p w:rsidR="0020499E" w:rsidRDefault="008E27E1">
            <w:pPr>
              <w:rPr>
                <w:b/>
                <w:sz w:val="20"/>
                <w:szCs w:val="20"/>
              </w:rPr>
            </w:pPr>
            <w:r>
              <w:rPr>
                <w:b/>
                <w:sz w:val="20"/>
                <w:szCs w:val="20"/>
              </w:rPr>
              <w:t xml:space="preserve">TYPE OF </w:t>
            </w:r>
          </w:p>
          <w:p w:rsidR="0020499E" w:rsidRDefault="008E27E1">
            <w:pPr>
              <w:rPr>
                <w:b/>
                <w:sz w:val="20"/>
                <w:szCs w:val="20"/>
              </w:rPr>
            </w:pPr>
            <w:r>
              <w:rPr>
                <w:b/>
                <w:sz w:val="20"/>
                <w:szCs w:val="20"/>
              </w:rPr>
              <w:t>EVALUATION</w:t>
            </w:r>
          </w:p>
        </w:tc>
        <w:tc>
          <w:tcPr>
            <w:tcW w:w="992" w:type="dxa"/>
          </w:tcPr>
          <w:p w:rsidR="0020499E" w:rsidRDefault="0020499E">
            <w:pPr>
              <w:jc w:val="center"/>
              <w:rPr>
                <w:b/>
                <w:sz w:val="20"/>
                <w:szCs w:val="20"/>
              </w:rPr>
            </w:pPr>
          </w:p>
          <w:p w:rsidR="0020499E" w:rsidRDefault="008E27E1">
            <w:pPr>
              <w:jc w:val="center"/>
              <w:rPr>
                <w:b/>
                <w:sz w:val="20"/>
                <w:szCs w:val="20"/>
              </w:rPr>
            </w:pPr>
            <w:r>
              <w:rPr>
                <w:b/>
                <w:sz w:val="20"/>
                <w:szCs w:val="20"/>
              </w:rPr>
              <w:t>Rich</w:t>
            </w:r>
          </w:p>
        </w:tc>
        <w:tc>
          <w:tcPr>
            <w:tcW w:w="850" w:type="dxa"/>
          </w:tcPr>
          <w:p w:rsidR="0020499E" w:rsidRDefault="008E27E1">
            <w:pPr>
              <w:jc w:val="center"/>
              <w:rPr>
                <w:b/>
                <w:sz w:val="20"/>
                <w:szCs w:val="20"/>
              </w:rPr>
            </w:pPr>
            <w:r>
              <w:rPr>
                <w:b/>
                <w:sz w:val="20"/>
                <w:szCs w:val="20"/>
              </w:rPr>
              <w:t xml:space="preserve">Up - </w:t>
            </w:r>
          </w:p>
          <w:p w:rsidR="0020499E" w:rsidRDefault="008E27E1">
            <w:pPr>
              <w:jc w:val="center"/>
              <w:rPr>
                <w:b/>
                <w:sz w:val="20"/>
                <w:szCs w:val="20"/>
              </w:rPr>
            </w:pPr>
            <w:r>
              <w:rPr>
                <w:b/>
                <w:sz w:val="20"/>
                <w:szCs w:val="20"/>
              </w:rPr>
              <w:t>to - date</w:t>
            </w:r>
          </w:p>
        </w:tc>
        <w:tc>
          <w:tcPr>
            <w:tcW w:w="1134" w:type="dxa"/>
          </w:tcPr>
          <w:p w:rsidR="0020499E" w:rsidRDefault="0020499E">
            <w:pPr>
              <w:jc w:val="center"/>
              <w:rPr>
                <w:b/>
                <w:sz w:val="20"/>
                <w:szCs w:val="20"/>
              </w:rPr>
            </w:pPr>
          </w:p>
          <w:p w:rsidR="0020499E" w:rsidRDefault="008E27E1">
            <w:pPr>
              <w:ind w:left="-108" w:right="-108"/>
              <w:jc w:val="center"/>
              <w:rPr>
                <w:b/>
                <w:sz w:val="20"/>
                <w:szCs w:val="20"/>
              </w:rPr>
            </w:pPr>
            <w:r>
              <w:rPr>
                <w:b/>
                <w:sz w:val="20"/>
                <w:szCs w:val="20"/>
              </w:rPr>
              <w:t>Accurate</w:t>
            </w:r>
          </w:p>
        </w:tc>
        <w:tc>
          <w:tcPr>
            <w:tcW w:w="1276" w:type="dxa"/>
          </w:tcPr>
          <w:p w:rsidR="0020499E" w:rsidRDefault="0020499E">
            <w:pPr>
              <w:jc w:val="center"/>
              <w:rPr>
                <w:b/>
                <w:sz w:val="20"/>
                <w:szCs w:val="20"/>
              </w:rPr>
            </w:pPr>
          </w:p>
          <w:p w:rsidR="0020499E" w:rsidRDefault="008E27E1">
            <w:pPr>
              <w:ind w:left="-108" w:right="-108"/>
              <w:jc w:val="center"/>
              <w:rPr>
                <w:b/>
                <w:sz w:val="20"/>
                <w:szCs w:val="20"/>
              </w:rPr>
            </w:pPr>
            <w:r>
              <w:rPr>
                <w:b/>
                <w:sz w:val="20"/>
                <w:szCs w:val="20"/>
              </w:rPr>
              <w:t>Legitimate</w:t>
            </w:r>
          </w:p>
        </w:tc>
        <w:tc>
          <w:tcPr>
            <w:tcW w:w="1418" w:type="dxa"/>
            <w:tcBorders>
              <w:top w:val="single" w:sz="4" w:space="0" w:color="auto"/>
              <w:bottom w:val="single" w:sz="4" w:space="0" w:color="auto"/>
              <w:right w:val="single" w:sz="4" w:space="0" w:color="auto"/>
            </w:tcBorders>
          </w:tcPr>
          <w:p w:rsidR="0020499E" w:rsidRDefault="0020499E">
            <w:pPr>
              <w:jc w:val="center"/>
              <w:rPr>
                <w:b/>
                <w:sz w:val="20"/>
                <w:szCs w:val="20"/>
              </w:rPr>
            </w:pPr>
          </w:p>
          <w:p w:rsidR="0020499E" w:rsidRDefault="008E27E1">
            <w:pPr>
              <w:ind w:left="-108" w:right="-108"/>
              <w:jc w:val="center"/>
              <w:rPr>
                <w:b/>
                <w:sz w:val="20"/>
                <w:szCs w:val="20"/>
              </w:rPr>
            </w:pPr>
            <w:r>
              <w:rPr>
                <w:b/>
                <w:sz w:val="20"/>
                <w:szCs w:val="20"/>
              </w:rPr>
              <w:t>Comparable</w:t>
            </w:r>
          </w:p>
        </w:tc>
        <w:tc>
          <w:tcPr>
            <w:tcW w:w="1418" w:type="dxa"/>
            <w:vMerge w:val="restart"/>
            <w:tcBorders>
              <w:top w:val="nil"/>
              <w:left w:val="single" w:sz="4" w:space="0" w:color="auto"/>
              <w:bottom w:val="nil"/>
              <w:right w:val="nil"/>
            </w:tcBorders>
          </w:tcPr>
          <w:p w:rsidR="0020499E" w:rsidRDefault="0020499E">
            <w:pPr>
              <w:jc w:val="center"/>
              <w:rPr>
                <w:b/>
              </w:rPr>
            </w:pPr>
          </w:p>
          <w:p w:rsidR="0020499E" w:rsidRDefault="0020499E">
            <w:pPr>
              <w:jc w:val="center"/>
              <w:rPr>
                <w:b/>
              </w:rPr>
            </w:pPr>
          </w:p>
          <w:p w:rsidR="0020499E" w:rsidRDefault="0020499E">
            <w:pPr>
              <w:jc w:val="center"/>
              <w:rPr>
                <w:sz w:val="20"/>
                <w:szCs w:val="20"/>
              </w:rPr>
            </w:pPr>
          </w:p>
          <w:p w:rsidR="0020499E" w:rsidRDefault="008E27E1">
            <w:pPr>
              <w:jc w:val="right"/>
              <w:rPr>
                <w:b/>
                <w:sz w:val="20"/>
                <w:szCs w:val="20"/>
              </w:rPr>
            </w:pPr>
            <w:r>
              <w:rPr>
                <w:b/>
                <w:sz w:val="20"/>
                <w:szCs w:val="20"/>
              </w:rPr>
              <w:t>Quality :</w:t>
            </w:r>
          </w:p>
          <w:p w:rsidR="0020499E" w:rsidRDefault="008E27E1">
            <w:pPr>
              <w:jc w:val="right"/>
              <w:rPr>
                <w:sz w:val="20"/>
                <w:szCs w:val="20"/>
              </w:rPr>
            </w:pPr>
            <w:r>
              <w:rPr>
                <w:sz w:val="20"/>
                <w:szCs w:val="20"/>
              </w:rPr>
              <w:t xml:space="preserve">High </w:t>
            </w:r>
            <w:r>
              <w:rPr>
                <w:b/>
                <w:sz w:val="20"/>
                <w:szCs w:val="20"/>
              </w:rPr>
              <w:t>***</w:t>
            </w:r>
          </w:p>
          <w:p w:rsidR="0020499E" w:rsidRDefault="008E27E1">
            <w:pPr>
              <w:jc w:val="right"/>
              <w:rPr>
                <w:sz w:val="20"/>
                <w:szCs w:val="20"/>
              </w:rPr>
            </w:pPr>
            <w:r>
              <w:rPr>
                <w:sz w:val="20"/>
                <w:szCs w:val="20"/>
              </w:rPr>
              <w:t xml:space="preserve">Medium </w:t>
            </w:r>
            <w:r>
              <w:rPr>
                <w:b/>
                <w:sz w:val="20"/>
                <w:szCs w:val="20"/>
              </w:rPr>
              <w:t>**</w:t>
            </w:r>
          </w:p>
          <w:p w:rsidR="0020499E" w:rsidRDefault="008E27E1">
            <w:pPr>
              <w:jc w:val="right"/>
              <w:rPr>
                <w:sz w:val="20"/>
                <w:szCs w:val="20"/>
              </w:rPr>
            </w:pPr>
            <w:r>
              <w:rPr>
                <w:sz w:val="20"/>
                <w:szCs w:val="20"/>
              </w:rPr>
              <w:t>Low</w:t>
            </w:r>
            <w:r>
              <w:rPr>
                <w:b/>
                <w:sz w:val="20"/>
                <w:szCs w:val="20"/>
              </w:rPr>
              <w:t>*</w:t>
            </w:r>
          </w:p>
          <w:p w:rsidR="0020499E" w:rsidRDefault="0020499E">
            <w:pPr>
              <w:rPr>
                <w:b/>
              </w:rPr>
            </w:pPr>
          </w:p>
        </w:tc>
      </w:tr>
      <w:tr w:rsidR="0020499E">
        <w:tc>
          <w:tcPr>
            <w:tcW w:w="3261" w:type="dxa"/>
          </w:tcPr>
          <w:p w:rsidR="0020499E" w:rsidRDefault="008E27E1">
            <w:pPr>
              <w:ind w:left="-108"/>
              <w:jc w:val="left"/>
              <w:rPr>
                <w:b/>
                <w:sz w:val="20"/>
                <w:szCs w:val="20"/>
                <w:lang w:val="en-US"/>
              </w:rPr>
            </w:pPr>
            <w:r>
              <w:rPr>
                <w:b/>
                <w:sz w:val="20"/>
                <w:szCs w:val="20"/>
                <w:lang w:val="en-US"/>
              </w:rPr>
              <w:t>Interactive peer-review</w:t>
            </w:r>
          </w:p>
        </w:tc>
        <w:tc>
          <w:tcPr>
            <w:tcW w:w="992" w:type="dxa"/>
            <w:shd w:val="clear" w:color="auto" w:fill="FFFFFF" w:themeFill="background1"/>
          </w:tcPr>
          <w:p w:rsidR="0020499E" w:rsidRDefault="008E27E1">
            <w:pPr>
              <w:ind w:left="33"/>
              <w:jc w:val="center"/>
              <w:rPr>
                <w:b/>
                <w:szCs w:val="20"/>
                <w:lang w:val="en-US"/>
              </w:rPr>
            </w:pPr>
            <w:r>
              <w:rPr>
                <w:b/>
                <w:szCs w:val="20"/>
                <w:lang w:val="en-US"/>
              </w:rPr>
              <w:t>***</w:t>
            </w:r>
          </w:p>
        </w:tc>
        <w:tc>
          <w:tcPr>
            <w:tcW w:w="850" w:type="dxa"/>
            <w:shd w:val="clear" w:color="auto" w:fill="FFFFFF" w:themeFill="background1"/>
          </w:tcPr>
          <w:p w:rsidR="0020499E" w:rsidRDefault="008E27E1">
            <w:pPr>
              <w:jc w:val="center"/>
              <w:rPr>
                <w:b/>
              </w:rPr>
            </w:pPr>
            <w:r>
              <w:rPr>
                <w:b/>
              </w:rPr>
              <w:t>*</w:t>
            </w:r>
          </w:p>
        </w:tc>
        <w:tc>
          <w:tcPr>
            <w:tcW w:w="1134" w:type="dxa"/>
            <w:shd w:val="clear" w:color="auto" w:fill="FFFFFF" w:themeFill="background1"/>
          </w:tcPr>
          <w:p w:rsidR="0020499E" w:rsidRDefault="008E27E1">
            <w:pPr>
              <w:jc w:val="center"/>
              <w:rPr>
                <w:b/>
              </w:rPr>
            </w:pPr>
            <w:r>
              <w:rPr>
                <w:b/>
                <w:szCs w:val="20"/>
                <w:lang w:val="en-US"/>
              </w:rPr>
              <w:t>***</w:t>
            </w:r>
          </w:p>
        </w:tc>
        <w:tc>
          <w:tcPr>
            <w:tcW w:w="1276" w:type="dxa"/>
            <w:shd w:val="clear" w:color="auto" w:fill="FFFFFF" w:themeFill="background1"/>
          </w:tcPr>
          <w:p w:rsidR="0020499E" w:rsidRDefault="008E27E1">
            <w:pPr>
              <w:jc w:val="center"/>
              <w:rPr>
                <w:b/>
              </w:rPr>
            </w:pPr>
            <w:r>
              <w:rPr>
                <w:b/>
                <w:szCs w:val="20"/>
                <w:lang w:val="en-US"/>
              </w:rPr>
              <w:t>***</w:t>
            </w:r>
          </w:p>
        </w:tc>
        <w:tc>
          <w:tcPr>
            <w:tcW w:w="1418" w:type="dxa"/>
            <w:tcBorders>
              <w:top w:val="single" w:sz="4" w:space="0" w:color="auto"/>
              <w:bottom w:val="single" w:sz="4" w:space="0" w:color="auto"/>
              <w:right w:val="single" w:sz="4" w:space="0" w:color="auto"/>
            </w:tcBorders>
            <w:shd w:val="clear" w:color="auto" w:fill="FFFFFF" w:themeFill="background1"/>
          </w:tcPr>
          <w:p w:rsidR="0020499E" w:rsidRDefault="008E27E1">
            <w:pPr>
              <w:jc w:val="center"/>
              <w:rPr>
                <w:b/>
              </w:rPr>
            </w:pPr>
            <w:r>
              <w:rPr>
                <w:b/>
              </w:rPr>
              <w:t>*</w:t>
            </w:r>
          </w:p>
        </w:tc>
        <w:tc>
          <w:tcPr>
            <w:tcW w:w="1418" w:type="dxa"/>
            <w:vMerge/>
            <w:tcBorders>
              <w:top w:val="nil"/>
              <w:left w:val="single" w:sz="4" w:space="0" w:color="auto"/>
              <w:bottom w:val="nil"/>
              <w:right w:val="nil"/>
            </w:tcBorders>
            <w:shd w:val="clear" w:color="auto" w:fill="FFFFFF" w:themeFill="background1"/>
          </w:tcPr>
          <w:p w:rsidR="0020499E" w:rsidRDefault="0020499E">
            <w:pPr>
              <w:jc w:val="center"/>
            </w:pPr>
          </w:p>
        </w:tc>
      </w:tr>
      <w:tr w:rsidR="0020499E">
        <w:tc>
          <w:tcPr>
            <w:tcW w:w="3261" w:type="dxa"/>
          </w:tcPr>
          <w:p w:rsidR="0020499E" w:rsidRDefault="008E27E1">
            <w:pPr>
              <w:ind w:left="-108"/>
              <w:jc w:val="left"/>
              <w:rPr>
                <w:b/>
                <w:sz w:val="20"/>
                <w:szCs w:val="20"/>
                <w:lang w:val="en-US"/>
              </w:rPr>
            </w:pPr>
            <w:r>
              <w:rPr>
                <w:b/>
                <w:sz w:val="20"/>
                <w:szCs w:val="20"/>
                <w:lang w:val="en-US"/>
              </w:rPr>
              <w:t>Peer-review (multi-factor)</w:t>
            </w:r>
          </w:p>
        </w:tc>
        <w:tc>
          <w:tcPr>
            <w:tcW w:w="992" w:type="dxa"/>
            <w:shd w:val="clear" w:color="auto" w:fill="FFFFFF" w:themeFill="background1"/>
          </w:tcPr>
          <w:p w:rsidR="0020499E" w:rsidRDefault="008E27E1">
            <w:pPr>
              <w:ind w:left="33"/>
              <w:jc w:val="center"/>
              <w:rPr>
                <w:b/>
                <w:highlight w:val="lightGray"/>
                <w:lang w:val="en-US"/>
              </w:rPr>
            </w:pPr>
            <w:r>
              <w:rPr>
                <w:b/>
                <w:szCs w:val="20"/>
                <w:lang w:val="en-US"/>
              </w:rPr>
              <w:t>***</w:t>
            </w:r>
          </w:p>
        </w:tc>
        <w:tc>
          <w:tcPr>
            <w:tcW w:w="850" w:type="dxa"/>
            <w:shd w:val="clear" w:color="auto" w:fill="FFFFFF" w:themeFill="background1"/>
          </w:tcPr>
          <w:p w:rsidR="0020499E" w:rsidRDefault="008E27E1">
            <w:pPr>
              <w:jc w:val="center"/>
              <w:rPr>
                <w:b/>
              </w:rPr>
            </w:pPr>
            <w:r>
              <w:rPr>
                <w:b/>
              </w:rPr>
              <w:t>*</w:t>
            </w:r>
          </w:p>
        </w:tc>
        <w:tc>
          <w:tcPr>
            <w:tcW w:w="1134" w:type="dxa"/>
            <w:shd w:val="clear" w:color="auto" w:fill="FFFFFF" w:themeFill="background1"/>
          </w:tcPr>
          <w:p w:rsidR="0020499E" w:rsidRDefault="008E27E1">
            <w:pPr>
              <w:jc w:val="center"/>
              <w:rPr>
                <w:b/>
                <w:lang w:val="en-US"/>
              </w:rPr>
            </w:pPr>
            <w:r>
              <w:rPr>
                <w:b/>
                <w:szCs w:val="20"/>
                <w:lang w:val="en-US"/>
              </w:rPr>
              <w:t>**</w:t>
            </w:r>
          </w:p>
        </w:tc>
        <w:tc>
          <w:tcPr>
            <w:tcW w:w="1276" w:type="dxa"/>
            <w:shd w:val="clear" w:color="auto" w:fill="FFFFFF" w:themeFill="background1"/>
          </w:tcPr>
          <w:p w:rsidR="0020499E" w:rsidRDefault="008E27E1">
            <w:pPr>
              <w:jc w:val="center"/>
              <w:rPr>
                <w:b/>
                <w:lang w:val="en-US"/>
              </w:rPr>
            </w:pPr>
            <w:r>
              <w:rPr>
                <w:b/>
                <w:szCs w:val="20"/>
                <w:lang w:val="en-US"/>
              </w:rPr>
              <w:t>***</w:t>
            </w:r>
          </w:p>
        </w:tc>
        <w:tc>
          <w:tcPr>
            <w:tcW w:w="1418" w:type="dxa"/>
            <w:tcBorders>
              <w:top w:val="single" w:sz="4" w:space="0" w:color="auto"/>
              <w:bottom w:val="single" w:sz="4" w:space="0" w:color="auto"/>
              <w:right w:val="single" w:sz="4" w:space="0" w:color="auto"/>
            </w:tcBorders>
            <w:shd w:val="clear" w:color="auto" w:fill="FFFFFF" w:themeFill="background1"/>
          </w:tcPr>
          <w:p w:rsidR="0020499E" w:rsidRDefault="008E27E1">
            <w:pPr>
              <w:jc w:val="center"/>
              <w:rPr>
                <w:b/>
              </w:rPr>
            </w:pPr>
            <w:r>
              <w:rPr>
                <w:b/>
              </w:rPr>
              <w:t>*</w:t>
            </w:r>
          </w:p>
        </w:tc>
        <w:tc>
          <w:tcPr>
            <w:tcW w:w="1418" w:type="dxa"/>
            <w:vMerge/>
            <w:tcBorders>
              <w:top w:val="nil"/>
              <w:left w:val="single" w:sz="4" w:space="0" w:color="auto"/>
              <w:bottom w:val="nil"/>
              <w:right w:val="nil"/>
            </w:tcBorders>
            <w:shd w:val="clear" w:color="auto" w:fill="FFFFFF" w:themeFill="background1"/>
          </w:tcPr>
          <w:p w:rsidR="0020499E" w:rsidRDefault="0020499E">
            <w:pPr>
              <w:jc w:val="center"/>
            </w:pPr>
          </w:p>
        </w:tc>
      </w:tr>
      <w:tr w:rsidR="0020499E">
        <w:tc>
          <w:tcPr>
            <w:tcW w:w="3261" w:type="dxa"/>
          </w:tcPr>
          <w:p w:rsidR="0020499E" w:rsidRDefault="008E27E1">
            <w:pPr>
              <w:ind w:left="-108"/>
              <w:jc w:val="left"/>
              <w:rPr>
                <w:b/>
                <w:sz w:val="20"/>
                <w:szCs w:val="20"/>
              </w:rPr>
            </w:pPr>
            <w:r>
              <w:rPr>
                <w:b/>
                <w:sz w:val="20"/>
                <w:szCs w:val="20"/>
                <w:lang w:val="en-US"/>
              </w:rPr>
              <w:t>Peer-review (single factor)</w:t>
            </w:r>
          </w:p>
        </w:tc>
        <w:tc>
          <w:tcPr>
            <w:tcW w:w="992" w:type="dxa"/>
            <w:shd w:val="clear" w:color="auto" w:fill="FFFFFF" w:themeFill="background1"/>
          </w:tcPr>
          <w:p w:rsidR="0020499E" w:rsidRDefault="008E27E1">
            <w:pPr>
              <w:ind w:left="33"/>
              <w:jc w:val="center"/>
              <w:rPr>
                <w:b/>
              </w:rPr>
            </w:pPr>
            <w:r>
              <w:rPr>
                <w:b/>
                <w:szCs w:val="20"/>
                <w:lang w:val="en-US"/>
              </w:rPr>
              <w:t>**</w:t>
            </w:r>
          </w:p>
        </w:tc>
        <w:tc>
          <w:tcPr>
            <w:tcW w:w="850" w:type="dxa"/>
            <w:shd w:val="clear" w:color="auto" w:fill="FFFFFF" w:themeFill="background1"/>
          </w:tcPr>
          <w:p w:rsidR="0020499E" w:rsidRDefault="008E27E1">
            <w:pPr>
              <w:jc w:val="center"/>
              <w:rPr>
                <w:b/>
              </w:rPr>
            </w:pPr>
            <w:r>
              <w:rPr>
                <w:b/>
              </w:rPr>
              <w:t>*</w:t>
            </w:r>
          </w:p>
        </w:tc>
        <w:tc>
          <w:tcPr>
            <w:tcW w:w="1134" w:type="dxa"/>
            <w:shd w:val="clear" w:color="auto" w:fill="FFFFFF" w:themeFill="background1"/>
          </w:tcPr>
          <w:p w:rsidR="0020499E" w:rsidRDefault="008E27E1">
            <w:pPr>
              <w:jc w:val="center"/>
              <w:rPr>
                <w:b/>
              </w:rPr>
            </w:pPr>
            <w:r>
              <w:rPr>
                <w:b/>
              </w:rPr>
              <w:t>*</w:t>
            </w:r>
          </w:p>
        </w:tc>
        <w:tc>
          <w:tcPr>
            <w:tcW w:w="1276" w:type="dxa"/>
            <w:shd w:val="clear" w:color="auto" w:fill="FFFFFF" w:themeFill="background1"/>
          </w:tcPr>
          <w:p w:rsidR="0020499E" w:rsidRDefault="008E27E1">
            <w:pPr>
              <w:jc w:val="center"/>
              <w:rPr>
                <w:b/>
              </w:rPr>
            </w:pPr>
            <w:r>
              <w:rPr>
                <w:b/>
                <w:szCs w:val="20"/>
                <w:lang w:val="en-US"/>
              </w:rPr>
              <w:t>**</w:t>
            </w:r>
          </w:p>
        </w:tc>
        <w:tc>
          <w:tcPr>
            <w:tcW w:w="1418" w:type="dxa"/>
            <w:tcBorders>
              <w:top w:val="single" w:sz="4" w:space="0" w:color="auto"/>
              <w:bottom w:val="single" w:sz="4" w:space="0" w:color="auto"/>
              <w:right w:val="single" w:sz="4" w:space="0" w:color="auto"/>
            </w:tcBorders>
            <w:shd w:val="clear" w:color="auto" w:fill="FFFFFF" w:themeFill="background1"/>
          </w:tcPr>
          <w:p w:rsidR="0020499E" w:rsidRDefault="008E27E1">
            <w:pPr>
              <w:jc w:val="center"/>
              <w:rPr>
                <w:b/>
                <w:lang w:val="en-US"/>
              </w:rPr>
            </w:pPr>
            <w:r>
              <w:rPr>
                <w:b/>
                <w:szCs w:val="20"/>
                <w:lang w:val="en-US"/>
              </w:rPr>
              <w:t>**</w:t>
            </w:r>
          </w:p>
        </w:tc>
        <w:tc>
          <w:tcPr>
            <w:tcW w:w="1418" w:type="dxa"/>
            <w:vMerge/>
            <w:tcBorders>
              <w:top w:val="nil"/>
              <w:left w:val="single" w:sz="4" w:space="0" w:color="auto"/>
              <w:bottom w:val="nil"/>
              <w:right w:val="nil"/>
            </w:tcBorders>
            <w:shd w:val="clear" w:color="auto" w:fill="FFFFFF" w:themeFill="background1"/>
          </w:tcPr>
          <w:p w:rsidR="0020499E" w:rsidRDefault="0020499E">
            <w:pPr>
              <w:jc w:val="center"/>
            </w:pPr>
          </w:p>
        </w:tc>
      </w:tr>
      <w:tr w:rsidR="0020499E">
        <w:tc>
          <w:tcPr>
            <w:tcW w:w="3261" w:type="dxa"/>
          </w:tcPr>
          <w:p w:rsidR="0020499E" w:rsidRDefault="008E27E1">
            <w:pPr>
              <w:ind w:left="-108"/>
              <w:jc w:val="left"/>
              <w:rPr>
                <w:b/>
              </w:rPr>
            </w:pPr>
            <w:r>
              <w:rPr>
                <w:b/>
                <w:sz w:val="20"/>
                <w:szCs w:val="20"/>
                <w:lang w:val="en-US"/>
              </w:rPr>
              <w:t>Multiple indicators</w:t>
            </w:r>
          </w:p>
        </w:tc>
        <w:tc>
          <w:tcPr>
            <w:tcW w:w="992" w:type="dxa"/>
            <w:shd w:val="clear" w:color="auto" w:fill="FFFFFF" w:themeFill="background1"/>
          </w:tcPr>
          <w:p w:rsidR="0020499E" w:rsidRDefault="008E27E1">
            <w:pPr>
              <w:ind w:left="33"/>
              <w:jc w:val="center"/>
              <w:rPr>
                <w:b/>
              </w:rPr>
            </w:pPr>
            <w:r>
              <w:rPr>
                <w:b/>
                <w:szCs w:val="20"/>
                <w:lang w:val="en-US"/>
              </w:rPr>
              <w:t>**</w:t>
            </w:r>
          </w:p>
        </w:tc>
        <w:tc>
          <w:tcPr>
            <w:tcW w:w="850" w:type="dxa"/>
            <w:shd w:val="clear" w:color="auto" w:fill="FFFFFF" w:themeFill="background1"/>
          </w:tcPr>
          <w:p w:rsidR="0020499E" w:rsidRDefault="008E27E1">
            <w:pPr>
              <w:jc w:val="center"/>
              <w:rPr>
                <w:b/>
              </w:rPr>
            </w:pPr>
            <w:r>
              <w:rPr>
                <w:b/>
                <w:szCs w:val="20"/>
                <w:lang w:val="en-US"/>
              </w:rPr>
              <w:t>**</w:t>
            </w:r>
          </w:p>
        </w:tc>
        <w:tc>
          <w:tcPr>
            <w:tcW w:w="1134" w:type="dxa"/>
            <w:shd w:val="clear" w:color="auto" w:fill="FFFFFF" w:themeFill="background1"/>
          </w:tcPr>
          <w:p w:rsidR="0020499E" w:rsidRDefault="008E27E1">
            <w:pPr>
              <w:jc w:val="center"/>
              <w:rPr>
                <w:b/>
              </w:rPr>
            </w:pPr>
            <w:r>
              <w:rPr>
                <w:b/>
              </w:rPr>
              <w:t>*</w:t>
            </w:r>
          </w:p>
        </w:tc>
        <w:tc>
          <w:tcPr>
            <w:tcW w:w="1276" w:type="dxa"/>
            <w:shd w:val="clear" w:color="auto" w:fill="FFFFFF" w:themeFill="background1"/>
          </w:tcPr>
          <w:p w:rsidR="0020499E" w:rsidRDefault="008E27E1">
            <w:pPr>
              <w:jc w:val="center"/>
              <w:rPr>
                <w:b/>
              </w:rPr>
            </w:pPr>
            <w:r>
              <w:rPr>
                <w:b/>
                <w:szCs w:val="20"/>
                <w:lang w:val="en-US"/>
              </w:rPr>
              <w:t>**</w:t>
            </w:r>
          </w:p>
        </w:tc>
        <w:tc>
          <w:tcPr>
            <w:tcW w:w="1418" w:type="dxa"/>
            <w:tcBorders>
              <w:top w:val="single" w:sz="4" w:space="0" w:color="auto"/>
              <w:bottom w:val="single" w:sz="4" w:space="0" w:color="auto"/>
              <w:right w:val="single" w:sz="4" w:space="0" w:color="auto"/>
            </w:tcBorders>
            <w:shd w:val="clear" w:color="auto" w:fill="FFFFFF" w:themeFill="background1"/>
          </w:tcPr>
          <w:p w:rsidR="0020499E" w:rsidRDefault="008E27E1">
            <w:pPr>
              <w:jc w:val="center"/>
              <w:rPr>
                <w:b/>
              </w:rPr>
            </w:pPr>
            <w:r>
              <w:rPr>
                <w:b/>
                <w:szCs w:val="20"/>
                <w:lang w:val="en-US"/>
              </w:rPr>
              <w:t>**</w:t>
            </w:r>
          </w:p>
        </w:tc>
        <w:tc>
          <w:tcPr>
            <w:tcW w:w="1418" w:type="dxa"/>
            <w:vMerge/>
            <w:tcBorders>
              <w:top w:val="nil"/>
              <w:left w:val="single" w:sz="4" w:space="0" w:color="auto"/>
              <w:bottom w:val="nil"/>
              <w:right w:val="nil"/>
            </w:tcBorders>
            <w:shd w:val="clear" w:color="auto" w:fill="FFFFFF" w:themeFill="background1"/>
          </w:tcPr>
          <w:p w:rsidR="0020499E" w:rsidRDefault="0020499E">
            <w:pPr>
              <w:jc w:val="center"/>
            </w:pPr>
          </w:p>
        </w:tc>
      </w:tr>
      <w:tr w:rsidR="0020499E">
        <w:trPr>
          <w:trHeight w:val="64"/>
        </w:trPr>
        <w:tc>
          <w:tcPr>
            <w:tcW w:w="3261" w:type="dxa"/>
          </w:tcPr>
          <w:p w:rsidR="0020499E" w:rsidRDefault="008E27E1">
            <w:pPr>
              <w:ind w:left="-108"/>
              <w:jc w:val="left"/>
              <w:rPr>
                <w:b/>
                <w:sz w:val="20"/>
                <w:szCs w:val="20"/>
              </w:rPr>
            </w:pPr>
            <w:r>
              <w:rPr>
                <w:b/>
                <w:sz w:val="20"/>
                <w:szCs w:val="20"/>
              </w:rPr>
              <w:t>Single indicator</w:t>
            </w:r>
          </w:p>
        </w:tc>
        <w:tc>
          <w:tcPr>
            <w:tcW w:w="992" w:type="dxa"/>
            <w:shd w:val="clear" w:color="auto" w:fill="FFFFFF" w:themeFill="background1"/>
          </w:tcPr>
          <w:p w:rsidR="0020499E" w:rsidRDefault="008E27E1">
            <w:pPr>
              <w:ind w:left="33"/>
              <w:jc w:val="center"/>
              <w:rPr>
                <w:b/>
              </w:rPr>
            </w:pPr>
            <w:r>
              <w:rPr>
                <w:b/>
              </w:rPr>
              <w:t>*</w:t>
            </w:r>
          </w:p>
        </w:tc>
        <w:tc>
          <w:tcPr>
            <w:tcW w:w="850" w:type="dxa"/>
            <w:shd w:val="clear" w:color="auto" w:fill="FFFFFF" w:themeFill="background1"/>
          </w:tcPr>
          <w:p w:rsidR="0020499E" w:rsidRDefault="008E27E1">
            <w:pPr>
              <w:jc w:val="center"/>
              <w:rPr>
                <w:b/>
              </w:rPr>
            </w:pPr>
            <w:r>
              <w:rPr>
                <w:b/>
                <w:szCs w:val="20"/>
                <w:lang w:val="en-US"/>
              </w:rPr>
              <w:t>***</w:t>
            </w:r>
          </w:p>
        </w:tc>
        <w:tc>
          <w:tcPr>
            <w:tcW w:w="1134" w:type="dxa"/>
            <w:shd w:val="clear" w:color="auto" w:fill="FFFFFF" w:themeFill="background1"/>
          </w:tcPr>
          <w:p w:rsidR="0020499E" w:rsidRDefault="008E27E1">
            <w:pPr>
              <w:jc w:val="center"/>
              <w:rPr>
                <w:b/>
              </w:rPr>
            </w:pPr>
            <w:r>
              <w:rPr>
                <w:b/>
              </w:rPr>
              <w:t>*</w:t>
            </w:r>
          </w:p>
        </w:tc>
        <w:tc>
          <w:tcPr>
            <w:tcW w:w="1276" w:type="dxa"/>
            <w:shd w:val="clear" w:color="auto" w:fill="FFFFFF" w:themeFill="background1"/>
          </w:tcPr>
          <w:p w:rsidR="0020499E" w:rsidRDefault="008E27E1">
            <w:pPr>
              <w:jc w:val="center"/>
              <w:rPr>
                <w:b/>
              </w:rPr>
            </w:pPr>
            <w:r>
              <w:rPr>
                <w:b/>
              </w:rPr>
              <w:t>*</w:t>
            </w:r>
          </w:p>
        </w:tc>
        <w:tc>
          <w:tcPr>
            <w:tcW w:w="1418" w:type="dxa"/>
            <w:tcBorders>
              <w:top w:val="single" w:sz="4" w:space="0" w:color="auto"/>
              <w:bottom w:val="single" w:sz="4" w:space="0" w:color="auto"/>
              <w:right w:val="single" w:sz="4" w:space="0" w:color="auto"/>
            </w:tcBorders>
            <w:shd w:val="clear" w:color="auto" w:fill="FFFFFF" w:themeFill="background1"/>
          </w:tcPr>
          <w:p w:rsidR="0020499E" w:rsidRDefault="008E27E1">
            <w:pPr>
              <w:jc w:val="center"/>
              <w:rPr>
                <w:b/>
              </w:rPr>
            </w:pPr>
            <w:r>
              <w:rPr>
                <w:b/>
                <w:szCs w:val="20"/>
                <w:lang w:val="en-US"/>
              </w:rPr>
              <w:t>***</w:t>
            </w:r>
          </w:p>
        </w:tc>
        <w:tc>
          <w:tcPr>
            <w:tcW w:w="1418" w:type="dxa"/>
            <w:vMerge/>
            <w:tcBorders>
              <w:top w:val="nil"/>
              <w:left w:val="single" w:sz="4" w:space="0" w:color="auto"/>
              <w:bottom w:val="nil"/>
              <w:right w:val="nil"/>
            </w:tcBorders>
            <w:shd w:val="clear" w:color="auto" w:fill="FFFFFF" w:themeFill="background1"/>
          </w:tcPr>
          <w:p w:rsidR="0020499E" w:rsidRDefault="0020499E">
            <w:pPr>
              <w:jc w:val="center"/>
            </w:pPr>
          </w:p>
        </w:tc>
      </w:tr>
    </w:tbl>
    <w:p w:rsidR="0020499E" w:rsidRDefault="008E27E1">
      <w:pPr>
        <w:rPr>
          <w:rFonts w:cs="Times New Roman"/>
          <w:i/>
          <w:iCs/>
          <w:sz w:val="16"/>
          <w:szCs w:val="16"/>
        </w:rPr>
      </w:pPr>
      <w:r>
        <w:rPr>
          <w:sz w:val="16"/>
          <w:szCs w:val="16"/>
        </w:rPr>
        <w:t xml:space="preserve">Adapted from </w:t>
      </w:r>
      <w:r>
        <w:rPr>
          <w:rFonts w:cs="Times New Roman"/>
          <w:sz w:val="16"/>
          <w:szCs w:val="16"/>
        </w:rPr>
        <w:t xml:space="preserve">Gläser, Lange et </w:t>
      </w:r>
      <w:r>
        <w:rPr>
          <w:rFonts w:cs="Times New Roman"/>
          <w:i/>
          <w:iCs/>
          <w:sz w:val="16"/>
          <w:szCs w:val="16"/>
        </w:rPr>
        <w:t xml:space="preserve">al </w:t>
      </w:r>
      <w:r>
        <w:rPr>
          <w:rFonts w:cs="Times New Roman"/>
          <w:iCs/>
          <w:sz w:val="16"/>
          <w:szCs w:val="16"/>
        </w:rPr>
        <w:t xml:space="preserve">and </w:t>
      </w:r>
      <w:r>
        <w:rPr>
          <w:rFonts w:cs="Times New Roman"/>
          <w:sz w:val="16"/>
          <w:szCs w:val="16"/>
        </w:rPr>
        <w:t>Louvel&amp; Lange</w:t>
      </w:r>
    </w:p>
    <w:p w:rsidR="0020499E" w:rsidRDefault="0020499E">
      <w:pPr>
        <w:rPr>
          <w:rFonts w:cs="Times New Roman"/>
          <w:i/>
          <w:iCs/>
          <w:szCs w:val="16"/>
        </w:rPr>
      </w:pPr>
    </w:p>
    <w:p w:rsidR="0020499E" w:rsidRDefault="008E27E1">
      <w:pPr>
        <w:pStyle w:val="Heading3"/>
      </w:pPr>
      <w:bookmarkStart w:id="37" w:name="_Toc389396924"/>
      <w:r>
        <w:t xml:space="preserve">4.1.2 Correlation between funding methods and </w:t>
      </w:r>
      <w:r>
        <w:t>assessment methods</w:t>
      </w:r>
      <w:bookmarkEnd w:id="37"/>
    </w:p>
    <w:p w:rsidR="0020499E" w:rsidRDefault="0020499E"/>
    <w:p w:rsidR="0020499E" w:rsidRDefault="008E27E1">
      <w:r>
        <w:t xml:space="preserve">As shown in the table below, types of funding and evaluation methods are not necessarily correlated, but it is important to add that when they do not explicitly include a competitive </w:t>
      </w:r>
      <w:r>
        <w:lastRenderedPageBreak/>
        <w:t>component, it means that they are not the whole pictu</w:t>
      </w:r>
      <w:r>
        <w:t xml:space="preserve">re and that another evaluation method is being used in parallel for allocation purposes.  </w:t>
      </w:r>
    </w:p>
    <w:p w:rsidR="0020499E" w:rsidRDefault="0020499E"/>
    <w:tbl>
      <w:tblPr>
        <w:tblStyle w:val="TableGrid"/>
        <w:tblW w:w="0" w:type="auto"/>
        <w:jc w:val="center"/>
        <w:tblLook w:val="04A0"/>
      </w:tblPr>
      <w:tblGrid>
        <w:gridCol w:w="2802"/>
        <w:gridCol w:w="2832"/>
        <w:gridCol w:w="4363"/>
      </w:tblGrid>
      <w:tr w:rsidR="0020499E">
        <w:trPr>
          <w:jc w:val="center"/>
        </w:trPr>
        <w:tc>
          <w:tcPr>
            <w:tcW w:w="2802" w:type="dxa"/>
          </w:tcPr>
          <w:p w:rsidR="0020499E" w:rsidRDefault="008E27E1">
            <w:pPr>
              <w:jc w:val="center"/>
              <w:rPr>
                <w:b/>
                <w:sz w:val="20"/>
                <w:szCs w:val="20"/>
              </w:rPr>
            </w:pPr>
            <w:r>
              <w:rPr>
                <w:b/>
                <w:sz w:val="20"/>
                <w:szCs w:val="20"/>
              </w:rPr>
              <w:t>Method of transferringresources</w:t>
            </w:r>
          </w:p>
        </w:tc>
        <w:tc>
          <w:tcPr>
            <w:tcW w:w="2832" w:type="dxa"/>
          </w:tcPr>
          <w:p w:rsidR="0020499E" w:rsidRDefault="008E27E1">
            <w:pPr>
              <w:jc w:val="center"/>
              <w:rPr>
                <w:b/>
                <w:sz w:val="20"/>
                <w:szCs w:val="20"/>
              </w:rPr>
            </w:pPr>
            <w:r>
              <w:rPr>
                <w:b/>
                <w:sz w:val="20"/>
                <w:szCs w:val="20"/>
              </w:rPr>
              <w:t>Type of evaluation</w:t>
            </w:r>
          </w:p>
        </w:tc>
        <w:tc>
          <w:tcPr>
            <w:tcW w:w="4363" w:type="dxa"/>
          </w:tcPr>
          <w:p w:rsidR="0020499E" w:rsidRDefault="008E27E1">
            <w:pPr>
              <w:jc w:val="center"/>
              <w:rPr>
                <w:b/>
                <w:sz w:val="20"/>
                <w:szCs w:val="20"/>
              </w:rPr>
            </w:pPr>
            <w:r>
              <w:rPr>
                <w:b/>
                <w:sz w:val="20"/>
                <w:szCs w:val="20"/>
              </w:rPr>
              <w:t>Example countries</w:t>
            </w:r>
          </w:p>
        </w:tc>
      </w:tr>
      <w:tr w:rsidR="0020499E">
        <w:trPr>
          <w:jc w:val="center"/>
        </w:trPr>
        <w:tc>
          <w:tcPr>
            <w:tcW w:w="2802" w:type="dxa"/>
          </w:tcPr>
          <w:p w:rsidR="0020499E" w:rsidRDefault="008E27E1">
            <w:pPr>
              <w:jc w:val="left"/>
              <w:rPr>
                <w:b/>
                <w:sz w:val="20"/>
                <w:szCs w:val="20"/>
                <w:lang w:val="en-US"/>
              </w:rPr>
            </w:pPr>
            <w:r>
              <w:rPr>
                <w:b/>
                <w:sz w:val="20"/>
                <w:szCs w:val="20"/>
                <w:lang w:val="en-US"/>
              </w:rPr>
              <w:t>Core funding or block grant funding</w:t>
            </w:r>
          </w:p>
        </w:tc>
        <w:tc>
          <w:tcPr>
            <w:tcW w:w="2832" w:type="dxa"/>
          </w:tcPr>
          <w:p w:rsidR="0020499E" w:rsidRDefault="008E27E1">
            <w:pPr>
              <w:jc w:val="left"/>
              <w:rPr>
                <w:sz w:val="20"/>
                <w:szCs w:val="20"/>
                <w:lang w:val="en-US"/>
              </w:rPr>
            </w:pPr>
            <w:r>
              <w:rPr>
                <w:sz w:val="20"/>
                <w:szCs w:val="20"/>
                <w:lang w:val="en-US"/>
              </w:rPr>
              <w:t>No evaluation of research</w:t>
            </w:r>
          </w:p>
        </w:tc>
        <w:tc>
          <w:tcPr>
            <w:tcW w:w="4363" w:type="dxa"/>
          </w:tcPr>
          <w:p w:rsidR="0020499E" w:rsidRDefault="008E27E1">
            <w:pPr>
              <w:jc w:val="left"/>
              <w:rPr>
                <w:sz w:val="20"/>
                <w:szCs w:val="20"/>
                <w:lang w:val="en-US"/>
              </w:rPr>
            </w:pPr>
            <w:r>
              <w:rPr>
                <w:sz w:val="20"/>
                <w:szCs w:val="20"/>
                <w:lang w:val="en-US"/>
              </w:rPr>
              <w:t>Block grant based on number of s</w:t>
            </w:r>
            <w:r>
              <w:rPr>
                <w:sz w:val="20"/>
                <w:szCs w:val="20"/>
                <w:lang w:val="en-US"/>
              </w:rPr>
              <w:t>tudents (formerly Germany and Italy)</w:t>
            </w:r>
          </w:p>
          <w:p w:rsidR="0020499E" w:rsidRDefault="008E27E1">
            <w:pPr>
              <w:jc w:val="left"/>
              <w:rPr>
                <w:sz w:val="20"/>
                <w:szCs w:val="20"/>
                <w:lang w:val="en-US"/>
              </w:rPr>
            </w:pPr>
            <w:r>
              <w:rPr>
                <w:sz w:val="20"/>
                <w:szCs w:val="20"/>
                <w:lang w:val="en-US"/>
              </w:rPr>
              <w:t>Research field evaluation (formerly Norway and Sweden)</w:t>
            </w:r>
          </w:p>
          <w:p w:rsidR="0020499E" w:rsidRDefault="008E27E1">
            <w:pPr>
              <w:jc w:val="left"/>
              <w:rPr>
                <w:sz w:val="20"/>
                <w:szCs w:val="20"/>
                <w:lang w:val="en-US"/>
              </w:rPr>
            </w:pPr>
            <w:r>
              <w:rPr>
                <w:sz w:val="20"/>
                <w:szCs w:val="20"/>
                <w:lang w:val="en-US"/>
              </w:rPr>
              <w:t xml:space="preserve">Some allocation of funds according to a performance measure (Finland, Denmark) </w:t>
            </w:r>
          </w:p>
        </w:tc>
      </w:tr>
      <w:tr w:rsidR="0020499E">
        <w:trPr>
          <w:jc w:val="center"/>
        </w:trPr>
        <w:tc>
          <w:tcPr>
            <w:tcW w:w="2802" w:type="dxa"/>
          </w:tcPr>
          <w:p w:rsidR="0020499E" w:rsidRDefault="008E27E1">
            <w:pPr>
              <w:jc w:val="left"/>
              <w:rPr>
                <w:b/>
                <w:sz w:val="20"/>
                <w:szCs w:val="20"/>
                <w:lang w:val="en-US"/>
              </w:rPr>
            </w:pPr>
            <w:r>
              <w:rPr>
                <w:b/>
                <w:sz w:val="20"/>
                <w:szCs w:val="20"/>
                <w:lang w:val="en-US"/>
              </w:rPr>
              <w:t>Historical</w:t>
            </w:r>
          </w:p>
        </w:tc>
        <w:tc>
          <w:tcPr>
            <w:tcW w:w="2832" w:type="dxa"/>
          </w:tcPr>
          <w:p w:rsidR="0020499E" w:rsidRDefault="008E27E1">
            <w:pPr>
              <w:jc w:val="left"/>
              <w:rPr>
                <w:sz w:val="20"/>
                <w:szCs w:val="20"/>
                <w:lang w:val="en-US"/>
              </w:rPr>
            </w:pPr>
            <w:r>
              <w:rPr>
                <w:sz w:val="20"/>
                <w:szCs w:val="20"/>
                <w:lang w:val="en-US"/>
              </w:rPr>
              <w:t>Evaluation of research, but no link with funding</w:t>
            </w:r>
          </w:p>
        </w:tc>
        <w:tc>
          <w:tcPr>
            <w:tcW w:w="4363" w:type="dxa"/>
          </w:tcPr>
          <w:p w:rsidR="0020499E" w:rsidRDefault="008E27E1">
            <w:pPr>
              <w:jc w:val="left"/>
              <w:rPr>
                <w:sz w:val="20"/>
                <w:szCs w:val="20"/>
                <w:lang w:val="en-US"/>
              </w:rPr>
            </w:pPr>
            <w:r>
              <w:rPr>
                <w:sz w:val="20"/>
                <w:szCs w:val="20"/>
                <w:lang w:val="en-US"/>
              </w:rPr>
              <w:t xml:space="preserve">Netherlands </w:t>
            </w:r>
          </w:p>
        </w:tc>
      </w:tr>
      <w:tr w:rsidR="0020499E">
        <w:trPr>
          <w:jc w:val="center"/>
        </w:trPr>
        <w:tc>
          <w:tcPr>
            <w:tcW w:w="2802" w:type="dxa"/>
          </w:tcPr>
          <w:p w:rsidR="0020499E" w:rsidRDefault="008E27E1">
            <w:pPr>
              <w:jc w:val="left"/>
              <w:rPr>
                <w:b/>
                <w:sz w:val="20"/>
                <w:szCs w:val="20"/>
                <w:lang w:val="en-US"/>
              </w:rPr>
            </w:pPr>
            <w:r>
              <w:rPr>
                <w:b/>
                <w:sz w:val="20"/>
                <w:szCs w:val="20"/>
                <w:lang w:val="en-US"/>
              </w:rPr>
              <w:t>Negotiating</w:t>
            </w:r>
          </w:p>
        </w:tc>
        <w:tc>
          <w:tcPr>
            <w:tcW w:w="2832" w:type="dxa"/>
          </w:tcPr>
          <w:p w:rsidR="0020499E" w:rsidRDefault="008E27E1">
            <w:pPr>
              <w:jc w:val="left"/>
              <w:rPr>
                <w:sz w:val="20"/>
                <w:szCs w:val="20"/>
                <w:lang w:val="en-US"/>
              </w:rPr>
            </w:pPr>
            <w:r>
              <w:rPr>
                <w:sz w:val="20"/>
                <w:szCs w:val="20"/>
                <w:lang w:val="en-US"/>
              </w:rPr>
              <w:t>Involving quality assessment</w:t>
            </w:r>
          </w:p>
        </w:tc>
        <w:tc>
          <w:tcPr>
            <w:tcW w:w="4363" w:type="dxa"/>
          </w:tcPr>
          <w:p w:rsidR="0020499E" w:rsidRDefault="008E27E1">
            <w:pPr>
              <w:jc w:val="left"/>
              <w:rPr>
                <w:sz w:val="20"/>
                <w:szCs w:val="20"/>
                <w:lang w:val="en-US"/>
              </w:rPr>
            </w:pPr>
            <w:r>
              <w:rPr>
                <w:sz w:val="20"/>
                <w:szCs w:val="20"/>
                <w:lang w:val="en-US"/>
              </w:rPr>
              <w:t>France</w:t>
            </w:r>
          </w:p>
        </w:tc>
      </w:tr>
      <w:tr w:rsidR="0020499E">
        <w:trPr>
          <w:jc w:val="center"/>
        </w:trPr>
        <w:tc>
          <w:tcPr>
            <w:tcW w:w="2802" w:type="dxa"/>
          </w:tcPr>
          <w:p w:rsidR="0020499E" w:rsidRDefault="008E27E1">
            <w:pPr>
              <w:jc w:val="left"/>
              <w:rPr>
                <w:b/>
                <w:sz w:val="20"/>
                <w:szCs w:val="20"/>
                <w:lang w:val="en-US"/>
              </w:rPr>
            </w:pPr>
            <w:r>
              <w:rPr>
                <w:b/>
                <w:sz w:val="20"/>
                <w:szCs w:val="20"/>
                <w:lang w:val="en-US"/>
              </w:rPr>
              <w:t>Direct funding of research projects by granting councils</w:t>
            </w:r>
          </w:p>
        </w:tc>
        <w:tc>
          <w:tcPr>
            <w:tcW w:w="2832" w:type="dxa"/>
          </w:tcPr>
          <w:p w:rsidR="0020499E" w:rsidRDefault="008E27E1">
            <w:pPr>
              <w:jc w:val="left"/>
              <w:rPr>
                <w:sz w:val="20"/>
                <w:szCs w:val="20"/>
                <w:lang w:val="en-US"/>
              </w:rPr>
            </w:pPr>
            <w:r>
              <w:rPr>
                <w:sz w:val="20"/>
                <w:szCs w:val="20"/>
                <w:lang w:val="en-US"/>
              </w:rPr>
              <w:t>Peer review</w:t>
            </w:r>
          </w:p>
        </w:tc>
        <w:tc>
          <w:tcPr>
            <w:tcW w:w="4363" w:type="dxa"/>
          </w:tcPr>
          <w:p w:rsidR="0020499E" w:rsidRDefault="008E27E1">
            <w:pPr>
              <w:jc w:val="left"/>
              <w:rPr>
                <w:sz w:val="20"/>
                <w:szCs w:val="20"/>
                <w:lang w:val="en-US"/>
              </w:rPr>
            </w:pPr>
            <w:r>
              <w:rPr>
                <w:sz w:val="20"/>
                <w:szCs w:val="20"/>
                <w:lang w:val="en-US"/>
              </w:rPr>
              <w:t>Most countries</w:t>
            </w:r>
          </w:p>
        </w:tc>
      </w:tr>
      <w:tr w:rsidR="0020499E">
        <w:trPr>
          <w:jc w:val="center"/>
        </w:trPr>
        <w:tc>
          <w:tcPr>
            <w:tcW w:w="2802" w:type="dxa"/>
          </w:tcPr>
          <w:p w:rsidR="0020499E" w:rsidRDefault="008E27E1">
            <w:pPr>
              <w:jc w:val="left"/>
              <w:rPr>
                <w:b/>
                <w:sz w:val="20"/>
                <w:szCs w:val="20"/>
                <w:lang w:val="en-US"/>
              </w:rPr>
            </w:pPr>
            <w:r>
              <w:rPr>
                <w:b/>
                <w:sz w:val="20"/>
                <w:szCs w:val="20"/>
                <w:lang w:val="en-US"/>
              </w:rPr>
              <w:t>Contracts</w:t>
            </w:r>
          </w:p>
        </w:tc>
        <w:tc>
          <w:tcPr>
            <w:tcW w:w="2832" w:type="dxa"/>
          </w:tcPr>
          <w:p w:rsidR="0020499E" w:rsidRDefault="008E27E1">
            <w:pPr>
              <w:jc w:val="left"/>
              <w:rPr>
                <w:sz w:val="20"/>
                <w:szCs w:val="20"/>
                <w:lang w:val="en-US"/>
              </w:rPr>
            </w:pPr>
            <w:r>
              <w:rPr>
                <w:sz w:val="20"/>
                <w:szCs w:val="20"/>
                <w:lang w:val="en-US"/>
              </w:rPr>
              <w:t>Output</w:t>
            </w:r>
          </w:p>
        </w:tc>
        <w:tc>
          <w:tcPr>
            <w:tcW w:w="4363" w:type="dxa"/>
          </w:tcPr>
          <w:p w:rsidR="0020499E" w:rsidRDefault="008E27E1">
            <w:pPr>
              <w:jc w:val="left"/>
              <w:rPr>
                <w:sz w:val="20"/>
                <w:szCs w:val="20"/>
                <w:lang w:val="en-US"/>
              </w:rPr>
            </w:pPr>
            <w:r>
              <w:rPr>
                <w:sz w:val="20"/>
                <w:szCs w:val="20"/>
                <w:lang w:val="en-US"/>
              </w:rPr>
              <w:t>Most countries</w:t>
            </w:r>
          </w:p>
        </w:tc>
      </w:tr>
      <w:tr w:rsidR="0020499E">
        <w:trPr>
          <w:jc w:val="center"/>
        </w:trPr>
        <w:tc>
          <w:tcPr>
            <w:tcW w:w="2802" w:type="dxa"/>
          </w:tcPr>
          <w:p w:rsidR="0020499E" w:rsidRDefault="008E27E1">
            <w:pPr>
              <w:jc w:val="left"/>
              <w:rPr>
                <w:b/>
                <w:sz w:val="20"/>
                <w:szCs w:val="20"/>
              </w:rPr>
            </w:pPr>
            <w:r>
              <w:rPr>
                <w:b/>
                <w:sz w:val="20"/>
                <w:szCs w:val="20"/>
              </w:rPr>
              <w:t>Research performance indicators</w:t>
            </w:r>
          </w:p>
        </w:tc>
        <w:tc>
          <w:tcPr>
            <w:tcW w:w="2832" w:type="dxa"/>
          </w:tcPr>
          <w:p w:rsidR="0020499E" w:rsidRDefault="008E27E1">
            <w:pPr>
              <w:jc w:val="left"/>
              <w:rPr>
                <w:sz w:val="20"/>
                <w:szCs w:val="20"/>
                <w:lang w:val="en-US"/>
              </w:rPr>
            </w:pPr>
            <w:r>
              <w:rPr>
                <w:sz w:val="20"/>
                <w:szCs w:val="20"/>
                <w:lang w:val="en-US"/>
              </w:rPr>
              <w:t>Based on evaluation of research quality</w:t>
            </w:r>
          </w:p>
        </w:tc>
        <w:tc>
          <w:tcPr>
            <w:tcW w:w="4363" w:type="dxa"/>
          </w:tcPr>
          <w:p w:rsidR="0020499E" w:rsidRDefault="008E27E1">
            <w:pPr>
              <w:jc w:val="left"/>
              <w:rPr>
                <w:sz w:val="20"/>
                <w:szCs w:val="20"/>
                <w:lang w:val="en-US"/>
              </w:rPr>
            </w:pPr>
            <w:r>
              <w:rPr>
                <w:sz w:val="20"/>
                <w:szCs w:val="20"/>
                <w:lang w:val="en-US"/>
              </w:rPr>
              <w:t>Numerical indicat</w:t>
            </w:r>
            <w:r>
              <w:rPr>
                <w:sz w:val="20"/>
                <w:szCs w:val="20"/>
                <w:lang w:val="en-US"/>
              </w:rPr>
              <w:t>ors: Australia, Poland…</w:t>
            </w:r>
          </w:p>
          <w:p w:rsidR="0020499E" w:rsidRDefault="008E27E1">
            <w:pPr>
              <w:jc w:val="left"/>
              <w:rPr>
                <w:sz w:val="20"/>
                <w:szCs w:val="20"/>
                <w:lang w:val="en-US"/>
              </w:rPr>
            </w:pPr>
            <w:r>
              <w:rPr>
                <w:sz w:val="20"/>
                <w:szCs w:val="20"/>
                <w:lang w:val="en-US"/>
              </w:rPr>
              <w:t>Along with informed peer review: UK</w:t>
            </w:r>
          </w:p>
        </w:tc>
      </w:tr>
    </w:tbl>
    <w:p w:rsidR="0020499E" w:rsidRDefault="008E27E1">
      <w:pPr>
        <w:rPr>
          <w:sz w:val="18"/>
        </w:rPr>
      </w:pPr>
      <w:r>
        <w:rPr>
          <w:sz w:val="18"/>
        </w:rPr>
        <w:t>Adapted from Iorwerth</w:t>
      </w:r>
    </w:p>
    <w:p w:rsidR="0020499E" w:rsidRDefault="0020499E">
      <w:pPr>
        <w:rPr>
          <w:sz w:val="18"/>
        </w:rPr>
      </w:pPr>
    </w:p>
    <w:p w:rsidR="0020499E" w:rsidRDefault="008E27E1">
      <w:r>
        <w:t xml:space="preserve">This diversity is unlikely to last, however. For there is everywhere an increasingly explicit link between </w:t>
      </w:r>
      <w:r>
        <w:rPr>
          <w:rFonts w:cs="Times New Roman"/>
        </w:rPr>
        <w:t>research performance and research funding, both the need for comp</w:t>
      </w:r>
      <w:r>
        <w:rPr>
          <w:rFonts w:cs="Times New Roman"/>
        </w:rPr>
        <w:t>arability and the high cost of a sophisticated peer review mechanism tends to increase the relative weight of numerical indicators and hence, the use of summative methods.</w:t>
      </w:r>
    </w:p>
    <w:p w:rsidR="0020499E" w:rsidRDefault="0020499E"/>
    <w:p w:rsidR="0020499E" w:rsidRDefault="008E27E1">
      <w:pPr>
        <w:pStyle w:val="Heading2"/>
      </w:pPr>
      <w:bookmarkStart w:id="38" w:name="_Toc389396925"/>
      <w:r>
        <w:t>4.2 Trade-off options: cross-country analysis</w:t>
      </w:r>
      <w:bookmarkEnd w:id="38"/>
    </w:p>
    <w:p w:rsidR="0020499E" w:rsidRDefault="0020499E"/>
    <w:p w:rsidR="0020499E" w:rsidRDefault="008E27E1">
      <w:pPr>
        <w:rPr>
          <w:rFonts w:cs="Times New Roman"/>
        </w:rPr>
      </w:pPr>
      <w:r>
        <w:rPr>
          <w:rFonts w:cs="Times New Roman"/>
        </w:rPr>
        <w:t xml:space="preserve">Not only do research assessment trade-offs fluctuate from a country to another; they also fluctuate within the same country.  The leading models have been abundantly described in recent reports (see </w:t>
      </w:r>
      <w:r>
        <w:rPr>
          <w:rFonts w:cs="Times New Roman"/>
          <w:i/>
        </w:rPr>
        <w:t>e.g.</w:t>
      </w:r>
      <w:r>
        <w:rPr>
          <w:rFonts w:cs="Times New Roman"/>
        </w:rPr>
        <w:t>Bakraze, 2013). For further comparison, we propose in</w:t>
      </w:r>
      <w:r>
        <w:rPr>
          <w:rFonts w:cs="Times New Roman"/>
        </w:rPr>
        <w:t xml:space="preserve"> Annex 6 a chart which summarizes the main features of the evaluation frameworks in additional countries (US, Australia…). </w:t>
      </w:r>
    </w:p>
    <w:p w:rsidR="0020499E" w:rsidRDefault="0020499E">
      <w:pPr>
        <w:rPr>
          <w:rFonts w:cs="Times New Roman"/>
        </w:rPr>
      </w:pPr>
    </w:p>
    <w:p w:rsidR="0020499E" w:rsidRDefault="008E27E1">
      <w:pPr>
        <w:rPr>
          <w:rFonts w:cs="Times New Roman"/>
        </w:rPr>
      </w:pPr>
      <w:r>
        <w:rPr>
          <w:rFonts w:cs="Times New Roman"/>
        </w:rPr>
        <w:t>In this section, we will only focus on the prevalent features of the evaluation framework of three representative countries, namely</w:t>
      </w:r>
      <w:r>
        <w:rPr>
          <w:rFonts w:cs="Times New Roman"/>
        </w:rPr>
        <w:t xml:space="preserve"> the UK, Italy and Germany and on their evolution, using the classification of Louvel&amp; Lange (2010).</w:t>
      </w:r>
    </w:p>
    <w:p w:rsidR="0020499E" w:rsidRDefault="0020499E">
      <w:pPr>
        <w:rPr>
          <w:rFonts w:cs="Times New Roman"/>
        </w:rPr>
      </w:pPr>
    </w:p>
    <w:p w:rsidR="0020499E" w:rsidRDefault="008E27E1">
      <w:pPr>
        <w:pStyle w:val="Heading3"/>
      </w:pPr>
      <w:bookmarkStart w:id="39" w:name="_Toc389396926"/>
      <w:r>
        <w:t>4.2.1 UK: a competitive system with major implications on research funding</w:t>
      </w:r>
      <w:bookmarkEnd w:id="39"/>
    </w:p>
    <w:p w:rsidR="0020499E" w:rsidRDefault="0020499E">
      <w:pPr>
        <w:rPr>
          <w:rFonts w:cs="Times New Roman"/>
        </w:rPr>
      </w:pPr>
    </w:p>
    <w:p w:rsidR="0020499E" w:rsidRDefault="008E27E1">
      <w:pPr>
        <w:rPr>
          <w:rFonts w:cs="Times New Roman"/>
        </w:rPr>
      </w:pPr>
      <w:r>
        <w:rPr>
          <w:rFonts w:cs="Times New Roman"/>
        </w:rPr>
        <w:t>The British research assessment exercise (RAE) is a comprehensive evaluation f</w:t>
      </w:r>
      <w:r>
        <w:rPr>
          <w:rFonts w:cs="Times New Roman"/>
        </w:rPr>
        <w:t>ramework with an important peer-review dimension, justified by its implications: it is a highly competitive system that conditions 90% of research funding allocation. This zero sum-game applies among institutions, but also among research units within the s</w:t>
      </w:r>
      <w:r>
        <w:rPr>
          <w:rFonts w:cs="Times New Roman"/>
        </w:rPr>
        <w:t xml:space="preserve">ame institution: the best performing units capture most of the funding, the others disappear. </w:t>
      </w:r>
    </w:p>
    <w:p w:rsidR="0020499E" w:rsidRDefault="0020499E">
      <w:pPr>
        <w:rPr>
          <w:rFonts w:cs="Times New Roman"/>
        </w:rPr>
      </w:pPr>
    </w:p>
    <w:p w:rsidR="0020499E" w:rsidRDefault="008E27E1">
      <w:pPr>
        <w:rPr>
          <w:rFonts w:cs="Times New Roman"/>
        </w:rPr>
      </w:pPr>
      <w:r>
        <w:rPr>
          <w:rFonts w:cs="Times New Roman"/>
        </w:rPr>
        <w:t>Although the RAE has inspired a number of countries (</w:t>
      </w:r>
      <w:r>
        <w:rPr>
          <w:rFonts w:cs="Times New Roman"/>
          <w:i/>
        </w:rPr>
        <w:t>e.g.</w:t>
      </w:r>
      <w:r>
        <w:rPr>
          <w:rFonts w:cs="Times New Roman"/>
        </w:rPr>
        <w:t xml:space="preserve"> Australia, Italy…) it is often criticized for its inertia: now, assessment cycles occur every seven ye</w:t>
      </w:r>
      <w:r>
        <w:rPr>
          <w:rFonts w:cs="Times New Roman"/>
        </w:rPr>
        <w:t xml:space="preserve">ars only. Also, its accuracy and legitimacy are questioned because it promotes a narrow and standardized notion of quality that </w:t>
      </w:r>
      <w:r>
        <w:rPr>
          <w:rFonts w:cs="Times New Roman"/>
        </w:rPr>
        <w:lastRenderedPageBreak/>
        <w:t xml:space="preserve">favors conformity at the expense of creativity and natural sciences at the expense of social sciences and humanities. </w:t>
      </w:r>
    </w:p>
    <w:p w:rsidR="0020499E" w:rsidRDefault="0020499E">
      <w:pPr>
        <w:rPr>
          <w:rFonts w:cs="Times New Roman"/>
        </w:rPr>
      </w:pPr>
    </w:p>
    <w:p w:rsidR="0020499E" w:rsidRDefault="008E27E1">
      <w:pPr>
        <w:rPr>
          <w:rFonts w:cs="Times New Roman"/>
        </w:rPr>
      </w:pPr>
      <w:r>
        <w:rPr>
          <w:rFonts w:cs="Times New Roman"/>
        </w:rPr>
        <w:t>Overall,</w:t>
      </w:r>
      <w:r>
        <w:rPr>
          <w:rFonts w:cs="Times New Roman"/>
        </w:rPr>
        <w:t xml:space="preserve"> the RAE did improve research performance in the UK, but some critical observers point at its perverse effects, notably a “strategic” research totally shaped by the prevailing performance indicators. </w:t>
      </w:r>
    </w:p>
    <w:p w:rsidR="0020499E" w:rsidRDefault="0020499E">
      <w:pPr>
        <w:rPr>
          <w:rFonts w:cs="Times New Roman"/>
        </w:rPr>
      </w:pPr>
    </w:p>
    <w:p w:rsidR="0020499E" w:rsidRDefault="008E27E1">
      <w:pPr>
        <w:pStyle w:val="Heading3"/>
        <w:rPr>
          <w:rFonts w:cs="Times New Roman"/>
        </w:rPr>
      </w:pPr>
      <w:bookmarkStart w:id="40" w:name="_Toc389396927"/>
      <w:r>
        <w:t>4.2.2 Italy: a competitive system with intermediary im</w:t>
      </w:r>
      <w:r>
        <w:t>plications on research funding</w:t>
      </w:r>
      <w:bookmarkEnd w:id="40"/>
    </w:p>
    <w:p w:rsidR="0020499E" w:rsidRDefault="0020499E">
      <w:pPr>
        <w:rPr>
          <w:rFonts w:cs="Times New Roman"/>
        </w:rPr>
      </w:pPr>
    </w:p>
    <w:p w:rsidR="0020499E" w:rsidRDefault="008E27E1">
      <w:pPr>
        <w:rPr>
          <w:rFonts w:cs="Times New Roman"/>
        </w:rPr>
      </w:pPr>
      <w:r>
        <w:rPr>
          <w:rFonts w:cs="Times New Roman"/>
        </w:rPr>
        <w:t xml:space="preserve">The Italian ValutazioneTriennaledellaRicerca (VTR) is a sophisticated variant of the RAE: a far more comprehensive – and expensive - evaluation process with less brutal financial implications.  </w:t>
      </w:r>
    </w:p>
    <w:p w:rsidR="0020499E" w:rsidRDefault="0020499E">
      <w:pPr>
        <w:rPr>
          <w:rFonts w:cs="Times New Roman"/>
        </w:rPr>
      </w:pPr>
    </w:p>
    <w:p w:rsidR="0020499E" w:rsidRDefault="008E27E1">
      <w:pPr>
        <w:rPr>
          <w:rFonts w:cs="Times New Roman"/>
        </w:rPr>
      </w:pPr>
      <w:r>
        <w:rPr>
          <w:rFonts w:cs="Times New Roman"/>
        </w:rPr>
        <w:t>Under the VTR, 20 disciplina</w:t>
      </w:r>
      <w:r>
        <w:rPr>
          <w:rFonts w:cs="Times New Roman"/>
        </w:rPr>
        <w:t>ry committees have mobilized no less than 6,000 national and international experts to evaluate 17,000 research outputs of various kinds such as articles, conference proceedings, books, patents, etc. Interestingly, this approach has resulted in reasonably c</w:t>
      </w:r>
      <w:r>
        <w:rPr>
          <w:rFonts w:cs="Times New Roman"/>
        </w:rPr>
        <w:t xml:space="preserve">omparable individual evaluations, since all were summarized in a global grade. </w:t>
      </w:r>
    </w:p>
    <w:p w:rsidR="0020499E" w:rsidRDefault="0020499E">
      <w:pPr>
        <w:rPr>
          <w:rFonts w:cs="Times New Roman"/>
        </w:rPr>
      </w:pPr>
    </w:p>
    <w:p w:rsidR="0020499E" w:rsidRDefault="008E27E1">
      <w:pPr>
        <w:rPr>
          <w:rFonts w:cs="Times New Roman"/>
        </w:rPr>
      </w:pPr>
      <w:r>
        <w:rPr>
          <w:rFonts w:cs="Times New Roman"/>
        </w:rPr>
        <w:t>In addition to its richness, an interesting feature of the VTR lies in the fact that the impact of its results was initially limited to 30% of research fund allocation. At lea</w:t>
      </w:r>
      <w:r>
        <w:rPr>
          <w:rFonts w:cs="Times New Roman"/>
        </w:rPr>
        <w:t xml:space="preserve">st in a first stage, this apparent disconnection has significantly contributed to establish the credibility of this evaluation framework in the research community.  </w:t>
      </w:r>
    </w:p>
    <w:p w:rsidR="0020499E" w:rsidRDefault="0020499E">
      <w:pPr>
        <w:rPr>
          <w:rFonts w:cs="Times New Roman"/>
        </w:rPr>
      </w:pPr>
    </w:p>
    <w:p w:rsidR="0020499E" w:rsidRDefault="008E27E1">
      <w:pPr>
        <w:pStyle w:val="Heading3"/>
        <w:rPr>
          <w:rFonts w:cs="Times New Roman"/>
        </w:rPr>
      </w:pPr>
      <w:bookmarkStart w:id="41" w:name="_Toc389396928"/>
      <w:r>
        <w:t>4.2.3 Germany: a dual system</w:t>
      </w:r>
      <w:bookmarkEnd w:id="41"/>
    </w:p>
    <w:p w:rsidR="0020499E" w:rsidRDefault="0020499E">
      <w:pPr>
        <w:jc w:val="left"/>
        <w:rPr>
          <w:rFonts w:cs="Times New Roman"/>
          <w:lang w:val="fr-FR"/>
        </w:rPr>
      </w:pPr>
    </w:p>
    <w:p w:rsidR="0020499E" w:rsidRDefault="008E27E1">
      <w:pPr>
        <w:pStyle w:val="ListParagraph"/>
        <w:numPr>
          <w:ilvl w:val="0"/>
          <w:numId w:val="30"/>
        </w:numPr>
        <w:rPr>
          <w:rFonts w:ascii="Verdana" w:hAnsi="Verdana" w:cs="Times New Roman"/>
          <w:b/>
          <w:sz w:val="20"/>
          <w:szCs w:val="20"/>
        </w:rPr>
      </w:pPr>
      <w:r>
        <w:rPr>
          <w:rFonts w:ascii="Verdana" w:hAnsi="Verdana" w:cs="Times New Roman"/>
          <w:b/>
          <w:sz w:val="20"/>
          <w:szCs w:val="20"/>
        </w:rPr>
        <w:t xml:space="preserve">Level 1 : the Excellence Initiative (EI): a competitive </w:t>
      </w:r>
      <w:r>
        <w:rPr>
          <w:rFonts w:ascii="Verdana" w:hAnsi="Verdana" w:cs="Times New Roman"/>
          <w:b/>
          <w:sz w:val="20"/>
          <w:szCs w:val="20"/>
        </w:rPr>
        <w:t>system with intermediary implications on research funding</w:t>
      </w:r>
    </w:p>
    <w:p w:rsidR="0020499E" w:rsidRDefault="0020499E">
      <w:pPr>
        <w:ind w:left="360"/>
        <w:rPr>
          <w:rFonts w:cs="Times New Roman"/>
        </w:rPr>
      </w:pPr>
    </w:p>
    <w:p w:rsidR="0020499E" w:rsidRDefault="008E27E1">
      <w:pPr>
        <w:rPr>
          <w:rFonts w:cs="Times New Roman"/>
        </w:rPr>
      </w:pPr>
      <w:r>
        <w:rPr>
          <w:rFonts w:cs="Times New Roman"/>
        </w:rPr>
        <w:t xml:space="preserve">The EI serves multiple purposes: it introduces a dose of competition, it increases the international visibility of German research and it creates synergies between universities and research institutes. </w:t>
      </w:r>
    </w:p>
    <w:p w:rsidR="0020499E" w:rsidRDefault="0020499E">
      <w:pPr>
        <w:rPr>
          <w:rFonts w:cs="Times New Roman"/>
        </w:rPr>
      </w:pPr>
    </w:p>
    <w:p w:rsidR="0020499E" w:rsidRDefault="008E27E1">
      <w:pPr>
        <w:rPr>
          <w:rFonts w:cs="Times New Roman"/>
        </w:rPr>
      </w:pPr>
      <w:r>
        <w:rPr>
          <w:rFonts w:cs="Times New Roman"/>
        </w:rPr>
        <w:t>The EI is only one layer of research funding in Germ</w:t>
      </w:r>
      <w:r>
        <w:rPr>
          <w:rFonts w:cs="Times New Roman"/>
        </w:rPr>
        <w:t xml:space="preserve">any: it comes as a complement to non-competitive block grants that remain at the core of the research system. In practice however, the amount of such block grants that is decided at the level of the landers, is often negotiated by research institutions on </w:t>
      </w:r>
      <w:r>
        <w:rPr>
          <w:rFonts w:cs="Times New Roman"/>
        </w:rPr>
        <w:t xml:space="preserve">the basis of the results of the EI. </w:t>
      </w:r>
    </w:p>
    <w:p w:rsidR="0020499E" w:rsidRDefault="0020499E">
      <w:pPr>
        <w:rPr>
          <w:rFonts w:cs="Times New Roman"/>
        </w:rPr>
      </w:pPr>
    </w:p>
    <w:p w:rsidR="0020499E" w:rsidRDefault="008E27E1">
      <w:pPr>
        <w:rPr>
          <w:rFonts w:cs="Times New Roman"/>
        </w:rPr>
      </w:pPr>
      <w:r>
        <w:rPr>
          <w:rFonts w:cs="Times New Roman"/>
        </w:rPr>
        <w:t>As mentioned above, the EI is an important policy tool that contributes to reorganize the research landscape. It places universities in the front line and this forces them to better understand the activity of their res</w:t>
      </w:r>
      <w:r>
        <w:rPr>
          <w:rFonts w:cs="Times New Roman"/>
        </w:rPr>
        <w:t>pective research units when they apply for a given research project.</w:t>
      </w:r>
    </w:p>
    <w:p w:rsidR="0020499E" w:rsidRDefault="0020499E">
      <w:pPr>
        <w:rPr>
          <w:rFonts w:cs="Times New Roman"/>
        </w:rPr>
      </w:pPr>
    </w:p>
    <w:p w:rsidR="0020499E" w:rsidRDefault="008E27E1">
      <w:pPr>
        <w:rPr>
          <w:rFonts w:cs="Times New Roman"/>
        </w:rPr>
      </w:pPr>
      <w:r>
        <w:rPr>
          <w:rFonts w:cs="Times New Roman"/>
        </w:rPr>
        <w:t>In general, the EI is considered to mobilize rich and valid data about research and its legitimacy is unquestionable, but it is criticized for the lack of comparability of the results it</w:t>
      </w:r>
      <w:r>
        <w:rPr>
          <w:rFonts w:cs="Times New Roman"/>
        </w:rPr>
        <w:t xml:space="preserve"> produces. </w:t>
      </w:r>
    </w:p>
    <w:p w:rsidR="0020499E" w:rsidRDefault="0020499E">
      <w:pPr>
        <w:ind w:left="360"/>
        <w:rPr>
          <w:rFonts w:cs="Times New Roman"/>
        </w:rPr>
      </w:pPr>
    </w:p>
    <w:p w:rsidR="0020499E" w:rsidRDefault="008E27E1">
      <w:pPr>
        <w:pStyle w:val="ListParagraph"/>
        <w:numPr>
          <w:ilvl w:val="0"/>
          <w:numId w:val="30"/>
        </w:numPr>
        <w:rPr>
          <w:rFonts w:ascii="Verdana" w:hAnsi="Verdana" w:cs="Times New Roman"/>
          <w:b/>
          <w:sz w:val="20"/>
          <w:szCs w:val="20"/>
        </w:rPr>
      </w:pPr>
      <w:r>
        <w:rPr>
          <w:rFonts w:ascii="Verdana" w:hAnsi="Verdana" w:cs="Times New Roman"/>
          <w:b/>
          <w:sz w:val="20"/>
          <w:szCs w:val="20"/>
        </w:rPr>
        <w:t>Level 2 : the Science Council Ranking (Wissenschaftsrat - WR): a formative system with no implications on research funding</w:t>
      </w:r>
    </w:p>
    <w:p w:rsidR="0020499E" w:rsidRDefault="0020499E">
      <w:pPr>
        <w:ind w:left="360"/>
        <w:rPr>
          <w:rFonts w:cs="Times New Roman"/>
        </w:rPr>
      </w:pPr>
    </w:p>
    <w:p w:rsidR="0020499E" w:rsidRDefault="008E27E1">
      <w:pPr>
        <w:rPr>
          <w:rFonts w:cs="Times New Roman"/>
        </w:rPr>
      </w:pPr>
      <w:r>
        <w:rPr>
          <w:rFonts w:cs="Times New Roman"/>
        </w:rPr>
        <w:t xml:space="preserve">The objective of the WR is to analyze the strengths and weaknesses of research in general, identify avenues for reform </w:t>
      </w:r>
      <w:r>
        <w:rPr>
          <w:rFonts w:cs="Times New Roman"/>
        </w:rPr>
        <w:t>or improvement and make recommendations.</w:t>
      </w:r>
    </w:p>
    <w:p w:rsidR="0020499E" w:rsidRDefault="0020499E">
      <w:pPr>
        <w:rPr>
          <w:rFonts w:cs="Times New Roman"/>
        </w:rPr>
      </w:pPr>
    </w:p>
    <w:p w:rsidR="0020499E" w:rsidRDefault="008E27E1">
      <w:pPr>
        <w:rPr>
          <w:rFonts w:cs="Times New Roman"/>
        </w:rPr>
      </w:pPr>
      <w:r>
        <w:rPr>
          <w:rFonts w:cs="Times New Roman"/>
        </w:rPr>
        <w:t>This peer-reviewed mechanism being customized by discipline, it is thus accurate, legitimate and considered as very rich. But again, this very richness entails a lack of comparability that is often criticized.</w:t>
      </w:r>
    </w:p>
    <w:p w:rsidR="0020499E" w:rsidRDefault="0020499E">
      <w:pPr>
        <w:jc w:val="left"/>
        <w:rPr>
          <w:rFonts w:cs="Times New Roman"/>
        </w:rPr>
      </w:pPr>
    </w:p>
    <w:p w:rsidR="0020499E" w:rsidRDefault="008E27E1">
      <w:pPr>
        <w:pStyle w:val="Heading3"/>
      </w:pPr>
      <w:bookmarkStart w:id="42" w:name="_Toc389396929"/>
      <w:r>
        <w:lastRenderedPageBreak/>
        <w:t>4.2</w:t>
      </w:r>
      <w:r>
        <w:t>.4 Update and trends</w:t>
      </w:r>
      <w:bookmarkEnd w:id="42"/>
    </w:p>
    <w:p w:rsidR="0020499E" w:rsidRDefault="0020499E"/>
    <w:p w:rsidR="0020499E" w:rsidRDefault="008E27E1">
      <w:pPr>
        <w:rPr>
          <w:rFonts w:cs="Times New Roman"/>
        </w:rPr>
      </w:pPr>
      <w:r>
        <w:rPr>
          <w:rFonts w:cs="Times New Roman"/>
        </w:rPr>
        <w:t>Given the tensions inherent to any mix, evaluation framework</w:t>
      </w:r>
      <w:r>
        <w:t xml:space="preserve">s are perpetual works in progress. They have changed and will change again because </w:t>
      </w:r>
      <w:r>
        <w:rPr>
          <w:rFonts w:cs="Times New Roman"/>
        </w:rPr>
        <w:t xml:space="preserve">it is difficult to durably emphasize, let alone ignore, any given attribute. </w:t>
      </w:r>
    </w:p>
    <w:p w:rsidR="0020499E" w:rsidRDefault="0020499E">
      <w:pPr>
        <w:rPr>
          <w:rFonts w:cs="Times New Roman"/>
        </w:rPr>
      </w:pPr>
    </w:p>
    <w:p w:rsidR="0020499E" w:rsidRDefault="008E27E1">
      <w:pPr>
        <w:rPr>
          <w:rFonts w:cs="Times New Roman"/>
        </w:rPr>
      </w:pPr>
      <w:r>
        <w:rPr>
          <w:rFonts w:cs="Times New Roman"/>
        </w:rPr>
        <w:t>To respond t</w:t>
      </w:r>
      <w:r>
        <w:rPr>
          <w:rFonts w:cs="Times New Roman"/>
        </w:rPr>
        <w:t>o criticisms, the British RAE has introduced in 2008 more richness at the expense of comparability, whereas the Italian VTR has taken an opposite route, as the link between research evaluation and research financing was becoming more important. Finally, in</w:t>
      </w:r>
      <w:r>
        <w:rPr>
          <w:rFonts w:cs="Times New Roman"/>
        </w:rPr>
        <w:t xml:space="preserve"> Germany, the EI that many researchers considered as a “black box” had to evolve towards more comparability at the expense of its richness and accuracy (Louvel&amp; Lange, 2010). </w:t>
      </w:r>
    </w:p>
    <w:p w:rsidR="0020499E" w:rsidRDefault="0020499E">
      <w:pPr>
        <w:jc w:val="left"/>
        <w:rPr>
          <w:rFonts w:cs="Times New Roman"/>
        </w:rPr>
      </w:pPr>
    </w:p>
    <w:p w:rsidR="0020499E" w:rsidRDefault="008E27E1">
      <w:pPr>
        <w:rPr>
          <w:rFonts w:cs="Times New Roman"/>
        </w:rPr>
      </w:pPr>
      <w:r>
        <w:rPr>
          <w:rFonts w:cs="Times New Roman"/>
        </w:rPr>
        <w:t>The table below shows the main attributes of the three systems, under both thei</w:t>
      </w:r>
      <w:r>
        <w:rPr>
          <w:rFonts w:cs="Times New Roman"/>
        </w:rPr>
        <w:t>r initial and present formats:</w:t>
      </w:r>
    </w:p>
    <w:p w:rsidR="0020499E" w:rsidRDefault="0020499E"/>
    <w:tbl>
      <w:tblPr>
        <w:tblStyle w:val="TableGrid"/>
        <w:tblW w:w="9932" w:type="dxa"/>
        <w:jc w:val="center"/>
        <w:tblInd w:w="335" w:type="dxa"/>
        <w:tblLayout w:type="fixed"/>
        <w:tblLook w:val="04A0"/>
      </w:tblPr>
      <w:tblGrid>
        <w:gridCol w:w="1720"/>
        <w:gridCol w:w="992"/>
        <w:gridCol w:w="1134"/>
        <w:gridCol w:w="1134"/>
        <w:gridCol w:w="1276"/>
        <w:gridCol w:w="992"/>
        <w:gridCol w:w="1276"/>
        <w:gridCol w:w="1408"/>
      </w:tblGrid>
      <w:tr w:rsidR="0020499E">
        <w:trPr>
          <w:jc w:val="center"/>
        </w:trPr>
        <w:tc>
          <w:tcPr>
            <w:tcW w:w="1720" w:type="dxa"/>
            <w:vMerge w:val="restart"/>
            <w:tcBorders>
              <w:tl2br w:val="single" w:sz="4" w:space="0" w:color="auto"/>
            </w:tcBorders>
            <w:shd w:val="clear" w:color="auto" w:fill="F2F2F2" w:themeFill="background1" w:themeFillShade="F2"/>
          </w:tcPr>
          <w:p w:rsidR="0020499E" w:rsidRDefault="008E27E1">
            <w:pPr>
              <w:jc w:val="right"/>
              <w:rPr>
                <w:b/>
                <w:sz w:val="20"/>
                <w:szCs w:val="20"/>
              </w:rPr>
            </w:pPr>
            <w:r>
              <w:rPr>
                <w:lang w:val="en-US"/>
              </w:rPr>
              <w:br w:type="page"/>
            </w:r>
            <w:r>
              <w:rPr>
                <w:b/>
                <w:sz w:val="20"/>
                <w:szCs w:val="20"/>
              </w:rPr>
              <w:t>COUNTRY</w:t>
            </w:r>
          </w:p>
          <w:p w:rsidR="0020499E" w:rsidRDefault="0020499E">
            <w:pPr>
              <w:jc w:val="right"/>
              <w:rPr>
                <w:b/>
                <w:sz w:val="20"/>
                <w:szCs w:val="20"/>
              </w:rPr>
            </w:pPr>
          </w:p>
          <w:p w:rsidR="0020499E" w:rsidRDefault="0020499E">
            <w:pPr>
              <w:jc w:val="right"/>
              <w:rPr>
                <w:b/>
                <w:sz w:val="20"/>
                <w:szCs w:val="20"/>
              </w:rPr>
            </w:pPr>
          </w:p>
          <w:p w:rsidR="0020499E" w:rsidRDefault="008E27E1">
            <w:pPr>
              <w:ind w:left="-115"/>
              <w:jc w:val="left"/>
              <w:rPr>
                <w:b/>
                <w:sz w:val="20"/>
                <w:szCs w:val="20"/>
              </w:rPr>
            </w:pPr>
            <w:r>
              <w:rPr>
                <w:b/>
                <w:sz w:val="20"/>
                <w:szCs w:val="20"/>
              </w:rPr>
              <w:t>ATTRIBUTE</w:t>
            </w:r>
          </w:p>
        </w:tc>
        <w:tc>
          <w:tcPr>
            <w:tcW w:w="2126" w:type="dxa"/>
            <w:gridSpan w:val="2"/>
            <w:shd w:val="clear" w:color="auto" w:fill="F2F2F2" w:themeFill="background1" w:themeFillShade="F2"/>
          </w:tcPr>
          <w:p w:rsidR="0020499E" w:rsidRDefault="0020499E">
            <w:pPr>
              <w:ind w:left="-108" w:right="-108"/>
              <w:jc w:val="center"/>
              <w:rPr>
                <w:b/>
                <w:sz w:val="20"/>
                <w:szCs w:val="20"/>
                <w:lang w:val="en-US"/>
              </w:rPr>
            </w:pPr>
          </w:p>
          <w:p w:rsidR="0020499E" w:rsidRDefault="008E27E1">
            <w:pPr>
              <w:ind w:left="-108" w:right="-108"/>
              <w:jc w:val="center"/>
              <w:rPr>
                <w:b/>
                <w:sz w:val="20"/>
                <w:szCs w:val="20"/>
                <w:lang w:val="en-US"/>
              </w:rPr>
            </w:pPr>
            <w:r>
              <w:rPr>
                <w:b/>
                <w:sz w:val="20"/>
                <w:szCs w:val="20"/>
                <w:lang w:val="en-US"/>
              </w:rPr>
              <w:t>UK</w:t>
            </w:r>
          </w:p>
          <w:p w:rsidR="0020499E" w:rsidRDefault="0020499E">
            <w:pPr>
              <w:ind w:left="-108" w:right="-108"/>
              <w:jc w:val="center"/>
              <w:rPr>
                <w:b/>
              </w:rPr>
            </w:pPr>
          </w:p>
        </w:tc>
        <w:tc>
          <w:tcPr>
            <w:tcW w:w="2410" w:type="dxa"/>
            <w:gridSpan w:val="2"/>
            <w:shd w:val="clear" w:color="auto" w:fill="F2F2F2" w:themeFill="background1" w:themeFillShade="F2"/>
          </w:tcPr>
          <w:p w:rsidR="0020499E" w:rsidRDefault="0020499E">
            <w:pPr>
              <w:ind w:left="-108" w:right="-108"/>
              <w:jc w:val="center"/>
              <w:rPr>
                <w:b/>
                <w:sz w:val="20"/>
                <w:szCs w:val="20"/>
                <w:lang w:val="en-US"/>
              </w:rPr>
            </w:pPr>
          </w:p>
          <w:p w:rsidR="0020499E" w:rsidRDefault="008E27E1">
            <w:pPr>
              <w:ind w:left="-108" w:right="-108"/>
              <w:jc w:val="center"/>
              <w:rPr>
                <w:b/>
              </w:rPr>
            </w:pPr>
            <w:r>
              <w:rPr>
                <w:b/>
                <w:sz w:val="20"/>
                <w:szCs w:val="20"/>
                <w:lang w:val="en-US"/>
              </w:rPr>
              <w:t>Germany</w:t>
            </w:r>
          </w:p>
        </w:tc>
        <w:tc>
          <w:tcPr>
            <w:tcW w:w="2268" w:type="dxa"/>
            <w:gridSpan w:val="2"/>
            <w:tcBorders>
              <w:top w:val="single" w:sz="4" w:space="0" w:color="auto"/>
              <w:bottom w:val="single" w:sz="4" w:space="0" w:color="auto"/>
            </w:tcBorders>
            <w:shd w:val="clear" w:color="auto" w:fill="F2F2F2" w:themeFill="background1" w:themeFillShade="F2"/>
          </w:tcPr>
          <w:p w:rsidR="0020499E" w:rsidRDefault="0020499E">
            <w:pPr>
              <w:jc w:val="center"/>
              <w:rPr>
                <w:b/>
                <w:sz w:val="20"/>
                <w:szCs w:val="20"/>
              </w:rPr>
            </w:pPr>
          </w:p>
          <w:p w:rsidR="0020499E" w:rsidRDefault="008E27E1">
            <w:pPr>
              <w:jc w:val="center"/>
              <w:rPr>
                <w:b/>
              </w:rPr>
            </w:pPr>
            <w:r>
              <w:rPr>
                <w:b/>
                <w:sz w:val="20"/>
                <w:szCs w:val="20"/>
              </w:rPr>
              <w:t>Italy</w:t>
            </w:r>
          </w:p>
        </w:tc>
        <w:tc>
          <w:tcPr>
            <w:tcW w:w="1408" w:type="dxa"/>
            <w:vMerge w:val="restart"/>
            <w:tcBorders>
              <w:top w:val="nil"/>
              <w:bottom w:val="nil"/>
              <w:right w:val="nil"/>
            </w:tcBorders>
            <w:shd w:val="clear" w:color="auto" w:fill="FFFFFF" w:themeFill="background1"/>
          </w:tcPr>
          <w:p w:rsidR="0020499E" w:rsidRDefault="0020499E">
            <w:pPr>
              <w:jc w:val="right"/>
              <w:rPr>
                <w:b/>
                <w:sz w:val="20"/>
                <w:szCs w:val="20"/>
              </w:rPr>
            </w:pPr>
          </w:p>
          <w:p w:rsidR="0020499E" w:rsidRDefault="0020499E">
            <w:pPr>
              <w:jc w:val="right"/>
              <w:rPr>
                <w:b/>
                <w:sz w:val="20"/>
                <w:szCs w:val="20"/>
              </w:rPr>
            </w:pPr>
          </w:p>
          <w:p w:rsidR="0020499E" w:rsidRDefault="0020499E">
            <w:pPr>
              <w:jc w:val="right"/>
              <w:rPr>
                <w:b/>
                <w:sz w:val="20"/>
                <w:szCs w:val="20"/>
              </w:rPr>
            </w:pPr>
          </w:p>
          <w:p w:rsidR="0020499E" w:rsidRDefault="0020499E">
            <w:pPr>
              <w:jc w:val="right"/>
              <w:rPr>
                <w:b/>
                <w:sz w:val="20"/>
                <w:szCs w:val="20"/>
              </w:rPr>
            </w:pPr>
          </w:p>
          <w:p w:rsidR="0020499E" w:rsidRDefault="008E27E1">
            <w:pPr>
              <w:jc w:val="right"/>
              <w:rPr>
                <w:b/>
                <w:sz w:val="20"/>
                <w:szCs w:val="20"/>
              </w:rPr>
            </w:pPr>
            <w:r>
              <w:rPr>
                <w:b/>
                <w:sz w:val="20"/>
                <w:szCs w:val="20"/>
              </w:rPr>
              <w:t>Quality :</w:t>
            </w:r>
          </w:p>
          <w:p w:rsidR="0020499E" w:rsidRDefault="008E27E1">
            <w:pPr>
              <w:jc w:val="right"/>
              <w:rPr>
                <w:sz w:val="20"/>
                <w:szCs w:val="20"/>
              </w:rPr>
            </w:pPr>
            <w:r>
              <w:rPr>
                <w:sz w:val="20"/>
                <w:szCs w:val="20"/>
              </w:rPr>
              <w:t xml:space="preserve">High </w:t>
            </w:r>
            <w:r>
              <w:rPr>
                <w:b/>
                <w:sz w:val="20"/>
                <w:szCs w:val="20"/>
              </w:rPr>
              <w:t>***</w:t>
            </w:r>
          </w:p>
          <w:p w:rsidR="0020499E" w:rsidRDefault="008E27E1">
            <w:pPr>
              <w:jc w:val="right"/>
              <w:rPr>
                <w:sz w:val="20"/>
                <w:szCs w:val="20"/>
              </w:rPr>
            </w:pPr>
            <w:r>
              <w:rPr>
                <w:sz w:val="20"/>
                <w:szCs w:val="20"/>
              </w:rPr>
              <w:t xml:space="preserve">Medium </w:t>
            </w:r>
            <w:r>
              <w:rPr>
                <w:b/>
                <w:sz w:val="20"/>
                <w:szCs w:val="20"/>
              </w:rPr>
              <w:t>**</w:t>
            </w:r>
          </w:p>
          <w:p w:rsidR="0020499E" w:rsidRDefault="008E27E1">
            <w:pPr>
              <w:jc w:val="right"/>
              <w:rPr>
                <w:rFonts w:cs="Times New Roman"/>
                <w:b/>
              </w:rPr>
            </w:pPr>
            <w:r>
              <w:rPr>
                <w:sz w:val="20"/>
                <w:szCs w:val="20"/>
              </w:rPr>
              <w:t>Low</w:t>
            </w:r>
            <w:r>
              <w:rPr>
                <w:b/>
                <w:sz w:val="20"/>
                <w:szCs w:val="20"/>
              </w:rPr>
              <w:t>*</w:t>
            </w:r>
          </w:p>
        </w:tc>
      </w:tr>
      <w:tr w:rsidR="0020499E">
        <w:trPr>
          <w:jc w:val="center"/>
        </w:trPr>
        <w:tc>
          <w:tcPr>
            <w:tcW w:w="1720" w:type="dxa"/>
            <w:vMerge/>
            <w:tcBorders>
              <w:tl2br w:val="single" w:sz="4" w:space="0" w:color="auto"/>
            </w:tcBorders>
            <w:shd w:val="clear" w:color="auto" w:fill="F2F2F2" w:themeFill="background1" w:themeFillShade="F2"/>
          </w:tcPr>
          <w:p w:rsidR="0020499E" w:rsidRDefault="0020499E">
            <w:pPr>
              <w:jc w:val="center"/>
              <w:rPr>
                <w:b/>
              </w:rPr>
            </w:pPr>
          </w:p>
        </w:tc>
        <w:tc>
          <w:tcPr>
            <w:tcW w:w="992" w:type="dxa"/>
            <w:shd w:val="clear" w:color="auto" w:fill="F2F2F2" w:themeFill="background1" w:themeFillShade="F2"/>
          </w:tcPr>
          <w:p w:rsidR="0020499E" w:rsidRDefault="008E27E1">
            <w:pPr>
              <w:ind w:left="-108" w:right="-108"/>
              <w:jc w:val="center"/>
              <w:rPr>
                <w:b/>
              </w:rPr>
            </w:pPr>
            <w:r>
              <w:rPr>
                <w:b/>
              </w:rPr>
              <w:t>Initially</w:t>
            </w:r>
          </w:p>
        </w:tc>
        <w:tc>
          <w:tcPr>
            <w:tcW w:w="1134" w:type="dxa"/>
            <w:shd w:val="clear" w:color="auto" w:fill="F2F2F2" w:themeFill="background1" w:themeFillShade="F2"/>
          </w:tcPr>
          <w:p w:rsidR="0020499E" w:rsidRDefault="008E27E1">
            <w:pPr>
              <w:ind w:left="34"/>
              <w:jc w:val="center"/>
              <w:rPr>
                <w:b/>
              </w:rPr>
            </w:pPr>
            <w:r>
              <w:rPr>
                <w:b/>
              </w:rPr>
              <w:t>Now</w:t>
            </w:r>
          </w:p>
        </w:tc>
        <w:tc>
          <w:tcPr>
            <w:tcW w:w="1134" w:type="dxa"/>
            <w:shd w:val="clear" w:color="auto" w:fill="F2F2F2" w:themeFill="background1" w:themeFillShade="F2"/>
          </w:tcPr>
          <w:p w:rsidR="0020499E" w:rsidRDefault="008E27E1">
            <w:pPr>
              <w:ind w:left="-108" w:right="-108"/>
              <w:jc w:val="center"/>
              <w:rPr>
                <w:b/>
              </w:rPr>
            </w:pPr>
            <w:r>
              <w:rPr>
                <w:b/>
              </w:rPr>
              <w:t>Initially</w:t>
            </w:r>
          </w:p>
        </w:tc>
        <w:tc>
          <w:tcPr>
            <w:tcW w:w="1276" w:type="dxa"/>
            <w:shd w:val="clear" w:color="auto" w:fill="F2F2F2" w:themeFill="background1" w:themeFillShade="F2"/>
          </w:tcPr>
          <w:p w:rsidR="0020499E" w:rsidRDefault="008E27E1">
            <w:pPr>
              <w:ind w:left="34"/>
              <w:jc w:val="center"/>
              <w:rPr>
                <w:b/>
              </w:rPr>
            </w:pPr>
            <w:r>
              <w:rPr>
                <w:b/>
              </w:rPr>
              <w:t>Now</w:t>
            </w:r>
          </w:p>
        </w:tc>
        <w:tc>
          <w:tcPr>
            <w:tcW w:w="992" w:type="dxa"/>
            <w:tcBorders>
              <w:top w:val="single" w:sz="4" w:space="0" w:color="auto"/>
              <w:bottom w:val="single" w:sz="4" w:space="0" w:color="auto"/>
              <w:right w:val="single" w:sz="4" w:space="0" w:color="auto"/>
            </w:tcBorders>
            <w:shd w:val="clear" w:color="auto" w:fill="F2F2F2" w:themeFill="background1" w:themeFillShade="F2"/>
          </w:tcPr>
          <w:p w:rsidR="0020499E" w:rsidRDefault="008E27E1">
            <w:pPr>
              <w:ind w:left="-108" w:right="-108"/>
              <w:jc w:val="center"/>
              <w:rPr>
                <w:b/>
              </w:rPr>
            </w:pPr>
            <w:r>
              <w:rPr>
                <w:b/>
              </w:rPr>
              <w:t>Initially</w:t>
            </w:r>
          </w:p>
        </w:tc>
        <w:tc>
          <w:tcPr>
            <w:tcW w:w="1276" w:type="dxa"/>
            <w:tcBorders>
              <w:bottom w:val="nil"/>
            </w:tcBorders>
            <w:shd w:val="clear" w:color="auto" w:fill="F2F2F2" w:themeFill="background1" w:themeFillShade="F2"/>
          </w:tcPr>
          <w:p w:rsidR="0020499E" w:rsidRDefault="008E27E1">
            <w:pPr>
              <w:ind w:left="34"/>
              <w:jc w:val="center"/>
              <w:rPr>
                <w:b/>
              </w:rPr>
            </w:pPr>
            <w:r>
              <w:rPr>
                <w:b/>
              </w:rPr>
              <w:t>Now</w:t>
            </w:r>
          </w:p>
        </w:tc>
        <w:tc>
          <w:tcPr>
            <w:tcW w:w="1408" w:type="dxa"/>
            <w:vMerge/>
            <w:tcBorders>
              <w:bottom w:val="nil"/>
              <w:right w:val="nil"/>
            </w:tcBorders>
            <w:shd w:val="clear" w:color="auto" w:fill="FFFFFF" w:themeFill="background1"/>
          </w:tcPr>
          <w:p w:rsidR="0020499E" w:rsidRDefault="0020499E">
            <w:pPr>
              <w:ind w:left="34"/>
              <w:jc w:val="center"/>
              <w:rPr>
                <w:b/>
              </w:rPr>
            </w:pPr>
          </w:p>
        </w:tc>
      </w:tr>
      <w:tr w:rsidR="0020499E">
        <w:trPr>
          <w:jc w:val="center"/>
        </w:trPr>
        <w:tc>
          <w:tcPr>
            <w:tcW w:w="1720" w:type="dxa"/>
            <w:shd w:val="clear" w:color="auto" w:fill="F2F2F2" w:themeFill="background1" w:themeFillShade="F2"/>
          </w:tcPr>
          <w:p w:rsidR="0020499E" w:rsidRDefault="008E27E1">
            <w:pPr>
              <w:jc w:val="center"/>
              <w:rPr>
                <w:b/>
                <w:sz w:val="20"/>
                <w:szCs w:val="20"/>
                <w:lang w:val="en-US"/>
              </w:rPr>
            </w:pPr>
            <w:r>
              <w:rPr>
                <w:b/>
                <w:sz w:val="20"/>
                <w:szCs w:val="20"/>
              </w:rPr>
              <w:t>Rich</w:t>
            </w:r>
          </w:p>
        </w:tc>
        <w:tc>
          <w:tcPr>
            <w:tcW w:w="992" w:type="dxa"/>
            <w:shd w:val="clear" w:color="auto" w:fill="auto"/>
          </w:tcPr>
          <w:p w:rsidR="0020499E" w:rsidRDefault="008E27E1">
            <w:pPr>
              <w:jc w:val="center"/>
              <w:rPr>
                <w:b/>
                <w:color w:val="FFFFFF" w:themeColor="background1"/>
                <w:sz w:val="20"/>
                <w:szCs w:val="20"/>
              </w:rPr>
            </w:pPr>
            <w:r>
              <w:rPr>
                <w:b/>
                <w:sz w:val="20"/>
                <w:szCs w:val="20"/>
                <w:lang w:val="en-US"/>
              </w:rPr>
              <w:t>**</w:t>
            </w:r>
          </w:p>
        </w:tc>
        <w:tc>
          <w:tcPr>
            <w:tcW w:w="1134" w:type="dxa"/>
          </w:tcPr>
          <w:p w:rsidR="0020499E" w:rsidRDefault="008E27E1">
            <w:pPr>
              <w:ind w:left="34"/>
              <w:jc w:val="center"/>
              <w:rPr>
                <w:b/>
                <w:color w:val="FFFFFF" w:themeColor="background1"/>
                <w:sz w:val="20"/>
                <w:szCs w:val="20"/>
              </w:rPr>
            </w:pPr>
            <w:r>
              <w:rPr>
                <w:b/>
                <w:sz w:val="20"/>
                <w:szCs w:val="20"/>
                <w:lang w:val="en-US"/>
              </w:rPr>
              <w:t>**</w:t>
            </w:r>
          </w:p>
        </w:tc>
        <w:tc>
          <w:tcPr>
            <w:tcW w:w="1134" w:type="dxa"/>
            <w:shd w:val="clear" w:color="auto" w:fill="auto"/>
          </w:tcPr>
          <w:p w:rsidR="0020499E" w:rsidRDefault="008E27E1">
            <w:pPr>
              <w:jc w:val="center"/>
              <w:rPr>
                <w:b/>
                <w:color w:val="FFFFFF" w:themeColor="background1"/>
                <w:sz w:val="20"/>
                <w:szCs w:val="20"/>
              </w:rPr>
            </w:pPr>
            <w:r>
              <w:rPr>
                <w:b/>
                <w:sz w:val="20"/>
                <w:szCs w:val="20"/>
                <w:lang w:val="en-US"/>
              </w:rPr>
              <w:t>***</w:t>
            </w:r>
          </w:p>
        </w:tc>
        <w:tc>
          <w:tcPr>
            <w:tcW w:w="1276" w:type="dxa"/>
          </w:tcPr>
          <w:p w:rsidR="0020499E" w:rsidRDefault="008E27E1">
            <w:pPr>
              <w:ind w:left="34"/>
              <w:jc w:val="center"/>
              <w:rPr>
                <w:b/>
                <w:color w:val="FFFFFF" w:themeColor="background1"/>
                <w:sz w:val="20"/>
                <w:szCs w:val="20"/>
              </w:rPr>
            </w:pPr>
            <w:r>
              <w:rPr>
                <w:b/>
                <w:sz w:val="20"/>
                <w:szCs w:val="20"/>
                <w:lang w:val="en-US"/>
              </w:rPr>
              <w:t>***</w:t>
            </w:r>
          </w:p>
        </w:tc>
        <w:tc>
          <w:tcPr>
            <w:tcW w:w="992" w:type="dxa"/>
            <w:tcBorders>
              <w:top w:val="single" w:sz="4" w:space="0" w:color="auto"/>
              <w:bottom w:val="single" w:sz="4" w:space="0" w:color="auto"/>
              <w:right w:val="single" w:sz="4" w:space="0" w:color="auto"/>
            </w:tcBorders>
            <w:shd w:val="clear" w:color="auto" w:fill="auto"/>
            <w:vAlign w:val="center"/>
          </w:tcPr>
          <w:p w:rsidR="0020499E" w:rsidRDefault="008E27E1">
            <w:pPr>
              <w:jc w:val="center"/>
              <w:rPr>
                <w:b/>
                <w:color w:val="FFFFFF" w:themeColor="background1"/>
                <w:sz w:val="20"/>
                <w:szCs w:val="20"/>
                <w:lang w:val="en-US"/>
              </w:rPr>
            </w:pPr>
            <w:r>
              <w:rPr>
                <w:b/>
                <w:sz w:val="20"/>
                <w:szCs w:val="20"/>
                <w:lang w:val="en-US"/>
              </w:rPr>
              <w:t>***</w:t>
            </w:r>
          </w:p>
        </w:tc>
        <w:tc>
          <w:tcPr>
            <w:tcW w:w="1276" w:type="dxa"/>
            <w:tcBorders>
              <w:bottom w:val="nil"/>
            </w:tcBorders>
          </w:tcPr>
          <w:p w:rsidR="0020499E" w:rsidRDefault="008E27E1">
            <w:pPr>
              <w:ind w:left="34"/>
              <w:jc w:val="center"/>
              <w:rPr>
                <w:b/>
                <w:color w:val="FFFFFF" w:themeColor="background1"/>
                <w:sz w:val="20"/>
                <w:szCs w:val="20"/>
              </w:rPr>
            </w:pPr>
            <w:r>
              <w:rPr>
                <w:b/>
                <w:sz w:val="20"/>
                <w:szCs w:val="20"/>
                <w:lang w:val="en-US"/>
              </w:rPr>
              <w:t>**</w:t>
            </w:r>
          </w:p>
        </w:tc>
        <w:tc>
          <w:tcPr>
            <w:tcW w:w="1408" w:type="dxa"/>
            <w:vMerge/>
            <w:tcBorders>
              <w:bottom w:val="nil"/>
              <w:right w:val="nil"/>
            </w:tcBorders>
            <w:shd w:val="clear" w:color="auto" w:fill="FFFFFF" w:themeFill="background1"/>
          </w:tcPr>
          <w:p w:rsidR="0020499E" w:rsidRDefault="0020499E">
            <w:pPr>
              <w:ind w:left="34"/>
              <w:jc w:val="center"/>
              <w:rPr>
                <w:b/>
              </w:rPr>
            </w:pPr>
          </w:p>
        </w:tc>
      </w:tr>
      <w:tr w:rsidR="0020499E">
        <w:trPr>
          <w:jc w:val="center"/>
        </w:trPr>
        <w:tc>
          <w:tcPr>
            <w:tcW w:w="1720" w:type="dxa"/>
            <w:shd w:val="clear" w:color="auto" w:fill="F2F2F2" w:themeFill="background1" w:themeFillShade="F2"/>
          </w:tcPr>
          <w:p w:rsidR="0020499E" w:rsidRDefault="008E27E1">
            <w:pPr>
              <w:jc w:val="center"/>
              <w:rPr>
                <w:b/>
                <w:sz w:val="20"/>
                <w:szCs w:val="20"/>
                <w:lang w:val="en-US"/>
              </w:rPr>
            </w:pPr>
            <w:r>
              <w:rPr>
                <w:b/>
                <w:sz w:val="20"/>
                <w:szCs w:val="20"/>
              </w:rPr>
              <w:t>Up-to–date</w:t>
            </w:r>
          </w:p>
        </w:tc>
        <w:tc>
          <w:tcPr>
            <w:tcW w:w="992" w:type="dxa"/>
            <w:shd w:val="clear" w:color="auto" w:fill="auto"/>
          </w:tcPr>
          <w:p w:rsidR="0020499E" w:rsidRDefault="008E27E1">
            <w:pPr>
              <w:jc w:val="center"/>
              <w:rPr>
                <w:b/>
                <w:sz w:val="20"/>
                <w:szCs w:val="20"/>
              </w:rPr>
            </w:pPr>
            <w:r>
              <w:rPr>
                <w:b/>
                <w:sz w:val="20"/>
                <w:szCs w:val="20"/>
              </w:rPr>
              <w:t>*</w:t>
            </w:r>
          </w:p>
        </w:tc>
        <w:tc>
          <w:tcPr>
            <w:tcW w:w="1134" w:type="dxa"/>
          </w:tcPr>
          <w:p w:rsidR="0020499E" w:rsidRDefault="008E27E1">
            <w:pPr>
              <w:ind w:left="34"/>
              <w:jc w:val="center"/>
              <w:rPr>
                <w:b/>
                <w:sz w:val="20"/>
                <w:szCs w:val="20"/>
              </w:rPr>
            </w:pPr>
            <w:r>
              <w:rPr>
                <w:b/>
                <w:sz w:val="20"/>
                <w:szCs w:val="20"/>
              </w:rPr>
              <w:t>**</w:t>
            </w:r>
          </w:p>
        </w:tc>
        <w:tc>
          <w:tcPr>
            <w:tcW w:w="1134" w:type="dxa"/>
            <w:shd w:val="clear" w:color="auto" w:fill="auto"/>
          </w:tcPr>
          <w:p w:rsidR="0020499E" w:rsidRDefault="008E27E1">
            <w:pPr>
              <w:jc w:val="center"/>
              <w:rPr>
                <w:b/>
                <w:sz w:val="20"/>
                <w:szCs w:val="20"/>
              </w:rPr>
            </w:pPr>
            <w:r>
              <w:rPr>
                <w:b/>
                <w:sz w:val="20"/>
                <w:szCs w:val="20"/>
              </w:rPr>
              <w:t>**</w:t>
            </w:r>
          </w:p>
        </w:tc>
        <w:tc>
          <w:tcPr>
            <w:tcW w:w="1276" w:type="dxa"/>
          </w:tcPr>
          <w:p w:rsidR="0020499E" w:rsidRDefault="008E27E1">
            <w:pPr>
              <w:ind w:left="34"/>
              <w:jc w:val="center"/>
              <w:rPr>
                <w:b/>
                <w:sz w:val="20"/>
                <w:szCs w:val="20"/>
              </w:rPr>
            </w:pPr>
            <w:r>
              <w:rPr>
                <w:b/>
                <w:sz w:val="20"/>
                <w:szCs w:val="20"/>
              </w:rPr>
              <w:t>**</w:t>
            </w:r>
          </w:p>
        </w:tc>
        <w:tc>
          <w:tcPr>
            <w:tcW w:w="992" w:type="dxa"/>
            <w:tcBorders>
              <w:top w:val="single" w:sz="4" w:space="0" w:color="auto"/>
              <w:bottom w:val="single" w:sz="4" w:space="0" w:color="auto"/>
              <w:right w:val="single" w:sz="4" w:space="0" w:color="auto"/>
            </w:tcBorders>
            <w:shd w:val="clear" w:color="auto" w:fill="auto"/>
            <w:vAlign w:val="center"/>
          </w:tcPr>
          <w:p w:rsidR="0020499E" w:rsidRDefault="008E27E1">
            <w:pPr>
              <w:jc w:val="center"/>
              <w:rPr>
                <w:b/>
                <w:sz w:val="20"/>
                <w:szCs w:val="20"/>
                <w:lang w:val="en-US"/>
              </w:rPr>
            </w:pPr>
            <w:r>
              <w:rPr>
                <w:b/>
                <w:sz w:val="20"/>
                <w:szCs w:val="20"/>
                <w:lang w:val="en-US"/>
              </w:rPr>
              <w:t>*</w:t>
            </w:r>
          </w:p>
        </w:tc>
        <w:tc>
          <w:tcPr>
            <w:tcW w:w="1276" w:type="dxa"/>
            <w:tcBorders>
              <w:bottom w:val="nil"/>
            </w:tcBorders>
          </w:tcPr>
          <w:p w:rsidR="0020499E" w:rsidRDefault="008E27E1">
            <w:pPr>
              <w:ind w:left="34"/>
              <w:jc w:val="center"/>
              <w:rPr>
                <w:b/>
                <w:sz w:val="20"/>
                <w:szCs w:val="20"/>
              </w:rPr>
            </w:pPr>
            <w:r>
              <w:rPr>
                <w:b/>
                <w:sz w:val="20"/>
                <w:szCs w:val="20"/>
              </w:rPr>
              <w:t>**</w:t>
            </w:r>
          </w:p>
        </w:tc>
        <w:tc>
          <w:tcPr>
            <w:tcW w:w="1408" w:type="dxa"/>
            <w:vMerge/>
            <w:tcBorders>
              <w:bottom w:val="nil"/>
              <w:right w:val="nil"/>
            </w:tcBorders>
            <w:shd w:val="clear" w:color="auto" w:fill="FFFFFF" w:themeFill="background1"/>
          </w:tcPr>
          <w:p w:rsidR="0020499E" w:rsidRDefault="0020499E">
            <w:pPr>
              <w:ind w:left="34"/>
              <w:jc w:val="center"/>
              <w:rPr>
                <w:b/>
              </w:rPr>
            </w:pPr>
          </w:p>
        </w:tc>
      </w:tr>
      <w:tr w:rsidR="0020499E">
        <w:trPr>
          <w:jc w:val="center"/>
        </w:trPr>
        <w:tc>
          <w:tcPr>
            <w:tcW w:w="1720" w:type="dxa"/>
            <w:shd w:val="clear" w:color="auto" w:fill="F2F2F2" w:themeFill="background1" w:themeFillShade="F2"/>
          </w:tcPr>
          <w:p w:rsidR="0020499E" w:rsidRDefault="008E27E1">
            <w:pPr>
              <w:ind w:left="77" w:hanging="148"/>
              <w:jc w:val="center"/>
              <w:rPr>
                <w:b/>
                <w:sz w:val="20"/>
                <w:szCs w:val="20"/>
              </w:rPr>
            </w:pPr>
            <w:r>
              <w:rPr>
                <w:b/>
                <w:sz w:val="20"/>
                <w:szCs w:val="20"/>
              </w:rPr>
              <w:t>Accurate</w:t>
            </w:r>
          </w:p>
        </w:tc>
        <w:tc>
          <w:tcPr>
            <w:tcW w:w="992" w:type="dxa"/>
            <w:shd w:val="clear" w:color="auto" w:fill="auto"/>
          </w:tcPr>
          <w:p w:rsidR="0020499E" w:rsidRDefault="008E27E1">
            <w:pPr>
              <w:jc w:val="center"/>
              <w:rPr>
                <w:b/>
                <w:sz w:val="20"/>
                <w:szCs w:val="20"/>
              </w:rPr>
            </w:pPr>
            <w:r>
              <w:rPr>
                <w:b/>
                <w:sz w:val="20"/>
                <w:szCs w:val="20"/>
              </w:rPr>
              <w:t>**</w:t>
            </w:r>
          </w:p>
        </w:tc>
        <w:tc>
          <w:tcPr>
            <w:tcW w:w="1134" w:type="dxa"/>
          </w:tcPr>
          <w:p w:rsidR="0020499E" w:rsidRDefault="008E27E1">
            <w:pPr>
              <w:ind w:left="34"/>
              <w:jc w:val="center"/>
              <w:rPr>
                <w:b/>
                <w:color w:val="FFFFFF" w:themeColor="background1"/>
                <w:sz w:val="20"/>
                <w:szCs w:val="20"/>
              </w:rPr>
            </w:pPr>
            <w:r>
              <w:rPr>
                <w:b/>
                <w:sz w:val="20"/>
                <w:szCs w:val="20"/>
                <w:lang w:val="en-US"/>
              </w:rPr>
              <w:t>***</w:t>
            </w:r>
          </w:p>
        </w:tc>
        <w:tc>
          <w:tcPr>
            <w:tcW w:w="1134" w:type="dxa"/>
            <w:shd w:val="clear" w:color="auto" w:fill="auto"/>
          </w:tcPr>
          <w:p w:rsidR="0020499E" w:rsidRDefault="008E27E1">
            <w:pPr>
              <w:jc w:val="center"/>
              <w:rPr>
                <w:b/>
                <w:sz w:val="20"/>
                <w:szCs w:val="20"/>
              </w:rPr>
            </w:pPr>
            <w:r>
              <w:rPr>
                <w:b/>
                <w:sz w:val="20"/>
                <w:szCs w:val="20"/>
              </w:rPr>
              <w:t>***</w:t>
            </w:r>
          </w:p>
        </w:tc>
        <w:tc>
          <w:tcPr>
            <w:tcW w:w="1276" w:type="dxa"/>
          </w:tcPr>
          <w:p w:rsidR="0020499E" w:rsidRDefault="008E27E1">
            <w:pPr>
              <w:ind w:left="34"/>
              <w:jc w:val="center"/>
              <w:rPr>
                <w:b/>
                <w:color w:val="FFFFFF" w:themeColor="background1"/>
                <w:sz w:val="20"/>
                <w:szCs w:val="20"/>
              </w:rPr>
            </w:pPr>
            <w:r>
              <w:rPr>
                <w:b/>
                <w:sz w:val="20"/>
                <w:szCs w:val="20"/>
                <w:lang w:val="en-US"/>
              </w:rPr>
              <w:t>***</w:t>
            </w:r>
          </w:p>
        </w:tc>
        <w:tc>
          <w:tcPr>
            <w:tcW w:w="992" w:type="dxa"/>
            <w:tcBorders>
              <w:top w:val="single" w:sz="4" w:space="0" w:color="auto"/>
              <w:bottom w:val="single" w:sz="4" w:space="0" w:color="auto"/>
              <w:right w:val="single" w:sz="4" w:space="0" w:color="auto"/>
            </w:tcBorders>
            <w:shd w:val="clear" w:color="auto" w:fill="auto"/>
            <w:vAlign w:val="center"/>
          </w:tcPr>
          <w:p w:rsidR="0020499E" w:rsidRDefault="008E27E1">
            <w:pPr>
              <w:jc w:val="center"/>
              <w:rPr>
                <w:b/>
                <w:sz w:val="20"/>
                <w:szCs w:val="20"/>
                <w:lang w:val="en-US"/>
              </w:rPr>
            </w:pPr>
            <w:r>
              <w:rPr>
                <w:b/>
                <w:sz w:val="20"/>
                <w:szCs w:val="20"/>
                <w:lang w:val="en-US"/>
              </w:rPr>
              <w:t>**</w:t>
            </w:r>
          </w:p>
        </w:tc>
        <w:tc>
          <w:tcPr>
            <w:tcW w:w="1276" w:type="dxa"/>
            <w:tcBorders>
              <w:bottom w:val="nil"/>
            </w:tcBorders>
          </w:tcPr>
          <w:p w:rsidR="0020499E" w:rsidRDefault="008E27E1">
            <w:pPr>
              <w:ind w:left="34"/>
              <w:jc w:val="center"/>
              <w:rPr>
                <w:b/>
                <w:color w:val="FFFFFF" w:themeColor="background1"/>
                <w:sz w:val="20"/>
                <w:szCs w:val="20"/>
              </w:rPr>
            </w:pPr>
            <w:r>
              <w:rPr>
                <w:b/>
                <w:sz w:val="20"/>
                <w:szCs w:val="20"/>
                <w:lang w:val="en-US"/>
              </w:rPr>
              <w:t>**</w:t>
            </w:r>
          </w:p>
        </w:tc>
        <w:tc>
          <w:tcPr>
            <w:tcW w:w="1408" w:type="dxa"/>
            <w:vMerge/>
            <w:tcBorders>
              <w:bottom w:val="nil"/>
              <w:right w:val="nil"/>
            </w:tcBorders>
            <w:shd w:val="clear" w:color="auto" w:fill="FFFFFF" w:themeFill="background1"/>
          </w:tcPr>
          <w:p w:rsidR="0020499E" w:rsidRDefault="0020499E">
            <w:pPr>
              <w:ind w:left="34"/>
              <w:jc w:val="center"/>
              <w:rPr>
                <w:b/>
              </w:rPr>
            </w:pPr>
          </w:p>
        </w:tc>
      </w:tr>
      <w:tr w:rsidR="0020499E">
        <w:trPr>
          <w:jc w:val="center"/>
        </w:trPr>
        <w:tc>
          <w:tcPr>
            <w:tcW w:w="1720" w:type="dxa"/>
            <w:shd w:val="clear" w:color="auto" w:fill="F2F2F2" w:themeFill="background1" w:themeFillShade="F2"/>
          </w:tcPr>
          <w:p w:rsidR="0020499E" w:rsidRDefault="008E27E1">
            <w:pPr>
              <w:ind w:left="77" w:hanging="148"/>
              <w:jc w:val="center"/>
              <w:rPr>
                <w:b/>
              </w:rPr>
            </w:pPr>
            <w:r>
              <w:rPr>
                <w:b/>
                <w:sz w:val="20"/>
                <w:szCs w:val="20"/>
              </w:rPr>
              <w:t>Legitimate</w:t>
            </w:r>
          </w:p>
        </w:tc>
        <w:tc>
          <w:tcPr>
            <w:tcW w:w="992" w:type="dxa"/>
            <w:shd w:val="clear" w:color="auto" w:fill="auto"/>
          </w:tcPr>
          <w:p w:rsidR="0020499E" w:rsidRDefault="008E27E1">
            <w:pPr>
              <w:jc w:val="center"/>
              <w:rPr>
                <w:b/>
                <w:sz w:val="20"/>
                <w:szCs w:val="20"/>
              </w:rPr>
            </w:pPr>
            <w:r>
              <w:rPr>
                <w:b/>
                <w:sz w:val="20"/>
                <w:szCs w:val="20"/>
                <w:lang w:val="en-US"/>
              </w:rPr>
              <w:t>**</w:t>
            </w:r>
          </w:p>
        </w:tc>
        <w:tc>
          <w:tcPr>
            <w:tcW w:w="1134" w:type="dxa"/>
          </w:tcPr>
          <w:p w:rsidR="0020499E" w:rsidRDefault="008E27E1">
            <w:pPr>
              <w:ind w:left="34"/>
              <w:jc w:val="center"/>
              <w:rPr>
                <w:b/>
                <w:sz w:val="20"/>
                <w:szCs w:val="20"/>
              </w:rPr>
            </w:pPr>
            <w:r>
              <w:rPr>
                <w:b/>
                <w:sz w:val="20"/>
                <w:szCs w:val="20"/>
              </w:rPr>
              <w:t>**</w:t>
            </w:r>
          </w:p>
        </w:tc>
        <w:tc>
          <w:tcPr>
            <w:tcW w:w="1134" w:type="dxa"/>
            <w:shd w:val="clear" w:color="auto" w:fill="auto"/>
          </w:tcPr>
          <w:p w:rsidR="0020499E" w:rsidRDefault="008E27E1">
            <w:pPr>
              <w:jc w:val="center"/>
              <w:rPr>
                <w:b/>
                <w:sz w:val="20"/>
                <w:szCs w:val="20"/>
              </w:rPr>
            </w:pPr>
            <w:r>
              <w:rPr>
                <w:b/>
                <w:sz w:val="20"/>
                <w:szCs w:val="20"/>
                <w:lang w:val="en-US"/>
              </w:rPr>
              <w:t>**</w:t>
            </w:r>
          </w:p>
        </w:tc>
        <w:tc>
          <w:tcPr>
            <w:tcW w:w="1276" w:type="dxa"/>
          </w:tcPr>
          <w:p w:rsidR="0020499E" w:rsidRDefault="008E27E1">
            <w:pPr>
              <w:ind w:left="34"/>
              <w:jc w:val="center"/>
              <w:rPr>
                <w:b/>
                <w:sz w:val="20"/>
                <w:szCs w:val="20"/>
              </w:rPr>
            </w:pPr>
            <w:r>
              <w:rPr>
                <w:b/>
                <w:sz w:val="20"/>
                <w:szCs w:val="20"/>
              </w:rPr>
              <w:t>***</w:t>
            </w:r>
          </w:p>
        </w:tc>
        <w:tc>
          <w:tcPr>
            <w:tcW w:w="992" w:type="dxa"/>
            <w:tcBorders>
              <w:top w:val="single" w:sz="4" w:space="0" w:color="auto"/>
              <w:bottom w:val="single" w:sz="4" w:space="0" w:color="auto"/>
              <w:right w:val="single" w:sz="4" w:space="0" w:color="auto"/>
            </w:tcBorders>
            <w:shd w:val="clear" w:color="auto" w:fill="auto"/>
            <w:vAlign w:val="center"/>
          </w:tcPr>
          <w:p w:rsidR="0020499E" w:rsidRDefault="008E27E1">
            <w:pPr>
              <w:jc w:val="center"/>
              <w:rPr>
                <w:b/>
                <w:sz w:val="20"/>
                <w:szCs w:val="20"/>
                <w:lang w:val="en-US"/>
              </w:rPr>
            </w:pPr>
            <w:r>
              <w:rPr>
                <w:b/>
                <w:sz w:val="20"/>
                <w:szCs w:val="20"/>
                <w:lang w:val="en-US"/>
              </w:rPr>
              <w:t>***</w:t>
            </w:r>
          </w:p>
        </w:tc>
        <w:tc>
          <w:tcPr>
            <w:tcW w:w="1276" w:type="dxa"/>
            <w:tcBorders>
              <w:bottom w:val="single" w:sz="4" w:space="0" w:color="auto"/>
            </w:tcBorders>
          </w:tcPr>
          <w:p w:rsidR="0020499E" w:rsidRDefault="008E27E1">
            <w:pPr>
              <w:ind w:left="34"/>
              <w:jc w:val="center"/>
              <w:rPr>
                <w:b/>
                <w:sz w:val="20"/>
                <w:szCs w:val="20"/>
              </w:rPr>
            </w:pPr>
            <w:r>
              <w:rPr>
                <w:b/>
                <w:sz w:val="20"/>
                <w:szCs w:val="20"/>
              </w:rPr>
              <w:t>***</w:t>
            </w:r>
          </w:p>
        </w:tc>
        <w:tc>
          <w:tcPr>
            <w:tcW w:w="1408" w:type="dxa"/>
            <w:vMerge/>
            <w:tcBorders>
              <w:bottom w:val="nil"/>
              <w:right w:val="nil"/>
            </w:tcBorders>
            <w:shd w:val="clear" w:color="auto" w:fill="FFFFFF" w:themeFill="background1"/>
          </w:tcPr>
          <w:p w:rsidR="0020499E" w:rsidRDefault="0020499E">
            <w:pPr>
              <w:ind w:left="34"/>
              <w:jc w:val="center"/>
              <w:rPr>
                <w:b/>
              </w:rPr>
            </w:pPr>
          </w:p>
        </w:tc>
      </w:tr>
      <w:tr w:rsidR="0020499E">
        <w:trPr>
          <w:trHeight w:val="258"/>
          <w:jc w:val="center"/>
        </w:trPr>
        <w:tc>
          <w:tcPr>
            <w:tcW w:w="1720" w:type="dxa"/>
            <w:shd w:val="clear" w:color="auto" w:fill="F2F2F2" w:themeFill="background1" w:themeFillShade="F2"/>
          </w:tcPr>
          <w:p w:rsidR="0020499E" w:rsidRDefault="008E27E1">
            <w:pPr>
              <w:ind w:left="77" w:hanging="148"/>
              <w:jc w:val="center"/>
              <w:rPr>
                <w:b/>
              </w:rPr>
            </w:pPr>
            <w:r>
              <w:rPr>
                <w:b/>
                <w:sz w:val="20"/>
                <w:szCs w:val="20"/>
              </w:rPr>
              <w:t>Comparable</w:t>
            </w:r>
          </w:p>
        </w:tc>
        <w:tc>
          <w:tcPr>
            <w:tcW w:w="992" w:type="dxa"/>
            <w:shd w:val="clear" w:color="auto" w:fill="auto"/>
          </w:tcPr>
          <w:p w:rsidR="0020499E" w:rsidRDefault="008E27E1">
            <w:pPr>
              <w:jc w:val="center"/>
              <w:rPr>
                <w:b/>
                <w:sz w:val="20"/>
                <w:szCs w:val="20"/>
              </w:rPr>
            </w:pPr>
            <w:r>
              <w:rPr>
                <w:b/>
                <w:sz w:val="20"/>
                <w:szCs w:val="20"/>
                <w:lang w:val="en-US"/>
              </w:rPr>
              <w:t>***</w:t>
            </w:r>
          </w:p>
        </w:tc>
        <w:tc>
          <w:tcPr>
            <w:tcW w:w="1134" w:type="dxa"/>
          </w:tcPr>
          <w:p w:rsidR="0020499E" w:rsidRDefault="008E27E1">
            <w:pPr>
              <w:ind w:left="34"/>
              <w:jc w:val="center"/>
              <w:rPr>
                <w:b/>
                <w:sz w:val="20"/>
                <w:szCs w:val="20"/>
              </w:rPr>
            </w:pPr>
            <w:r>
              <w:rPr>
                <w:b/>
                <w:sz w:val="20"/>
                <w:szCs w:val="20"/>
              </w:rPr>
              <w:t>**</w:t>
            </w:r>
          </w:p>
        </w:tc>
        <w:tc>
          <w:tcPr>
            <w:tcW w:w="1134" w:type="dxa"/>
            <w:shd w:val="clear" w:color="auto" w:fill="auto"/>
          </w:tcPr>
          <w:p w:rsidR="0020499E" w:rsidRDefault="008E27E1">
            <w:pPr>
              <w:jc w:val="center"/>
              <w:rPr>
                <w:b/>
                <w:sz w:val="20"/>
                <w:szCs w:val="20"/>
              </w:rPr>
            </w:pPr>
            <w:r>
              <w:rPr>
                <w:b/>
                <w:sz w:val="20"/>
                <w:szCs w:val="20"/>
                <w:lang w:val="en-US"/>
              </w:rPr>
              <w:t>*</w:t>
            </w:r>
          </w:p>
        </w:tc>
        <w:tc>
          <w:tcPr>
            <w:tcW w:w="1276" w:type="dxa"/>
          </w:tcPr>
          <w:p w:rsidR="0020499E" w:rsidRDefault="008E27E1">
            <w:pPr>
              <w:ind w:left="34"/>
              <w:jc w:val="center"/>
              <w:rPr>
                <w:b/>
                <w:sz w:val="20"/>
                <w:szCs w:val="20"/>
              </w:rPr>
            </w:pPr>
            <w:r>
              <w:rPr>
                <w:b/>
                <w:sz w:val="20"/>
                <w:szCs w:val="20"/>
              </w:rPr>
              <w:t>**</w:t>
            </w:r>
          </w:p>
        </w:tc>
        <w:tc>
          <w:tcPr>
            <w:tcW w:w="992" w:type="dxa"/>
            <w:tcBorders>
              <w:top w:val="single" w:sz="4" w:space="0" w:color="auto"/>
              <w:bottom w:val="single" w:sz="4" w:space="0" w:color="auto"/>
              <w:right w:val="single" w:sz="4" w:space="0" w:color="auto"/>
            </w:tcBorders>
            <w:shd w:val="clear" w:color="auto" w:fill="auto"/>
            <w:vAlign w:val="center"/>
          </w:tcPr>
          <w:p w:rsidR="0020499E" w:rsidRDefault="008E27E1">
            <w:pPr>
              <w:jc w:val="center"/>
              <w:rPr>
                <w:b/>
                <w:sz w:val="20"/>
                <w:szCs w:val="20"/>
              </w:rPr>
            </w:pPr>
            <w:r>
              <w:rPr>
                <w:b/>
                <w:sz w:val="20"/>
                <w:szCs w:val="20"/>
                <w:lang w:val="en-US"/>
              </w:rPr>
              <w:t>**</w:t>
            </w:r>
          </w:p>
        </w:tc>
        <w:tc>
          <w:tcPr>
            <w:tcW w:w="1276" w:type="dxa"/>
            <w:tcBorders>
              <w:bottom w:val="single" w:sz="4" w:space="0" w:color="auto"/>
            </w:tcBorders>
          </w:tcPr>
          <w:p w:rsidR="0020499E" w:rsidRDefault="008E27E1">
            <w:pPr>
              <w:ind w:left="34"/>
              <w:jc w:val="center"/>
              <w:rPr>
                <w:b/>
                <w:sz w:val="20"/>
                <w:szCs w:val="20"/>
              </w:rPr>
            </w:pPr>
            <w:r>
              <w:rPr>
                <w:b/>
                <w:sz w:val="20"/>
                <w:szCs w:val="20"/>
              </w:rPr>
              <w:t>***</w:t>
            </w:r>
          </w:p>
        </w:tc>
        <w:tc>
          <w:tcPr>
            <w:tcW w:w="1408" w:type="dxa"/>
            <w:vMerge/>
            <w:tcBorders>
              <w:bottom w:val="nil"/>
              <w:right w:val="nil"/>
            </w:tcBorders>
            <w:shd w:val="clear" w:color="auto" w:fill="FFFFFF" w:themeFill="background1"/>
          </w:tcPr>
          <w:p w:rsidR="0020499E" w:rsidRDefault="0020499E">
            <w:pPr>
              <w:ind w:left="34"/>
              <w:jc w:val="center"/>
              <w:rPr>
                <w:b/>
              </w:rPr>
            </w:pPr>
          </w:p>
        </w:tc>
      </w:tr>
    </w:tbl>
    <w:p w:rsidR="0020499E" w:rsidRDefault="0020499E">
      <w:pPr>
        <w:jc w:val="left"/>
        <w:rPr>
          <w:rFonts w:cs="Times New Roman"/>
        </w:rPr>
      </w:pPr>
    </w:p>
    <w:p w:rsidR="0020499E" w:rsidRDefault="008E27E1">
      <w:pPr>
        <w:rPr>
          <w:rFonts w:cs="Times New Roman"/>
        </w:rPr>
      </w:pPr>
      <w:r>
        <w:rPr>
          <w:rFonts w:cs="Times New Roman"/>
        </w:rPr>
        <w:t>In sum, evaluations systems tend to give up their most distinctive features over time, whether because they have achieved their initial purpose, as in Germany, because they are perceived as too narrow, as in the UK, or because they increasingly become a po</w:t>
      </w:r>
      <w:r>
        <w:rPr>
          <w:rFonts w:cs="Times New Roman"/>
        </w:rPr>
        <w:t xml:space="preserve">licy tool, as in Italy. </w:t>
      </w:r>
    </w:p>
    <w:p w:rsidR="0020499E" w:rsidRDefault="0020499E">
      <w:pPr>
        <w:rPr>
          <w:rFonts w:cs="Times New Roman"/>
        </w:rPr>
      </w:pPr>
    </w:p>
    <w:p w:rsidR="0020499E" w:rsidRDefault="0020499E">
      <w:pPr>
        <w:rPr>
          <w:rFonts w:cs="Times New Roman"/>
        </w:rPr>
      </w:pPr>
    </w:p>
    <w:p w:rsidR="0020499E" w:rsidRDefault="008E27E1">
      <w:pPr>
        <w:pStyle w:val="Heading2"/>
      </w:pPr>
      <w:bookmarkStart w:id="43" w:name="_Toc389396930"/>
      <w:r>
        <w:t>4.3 What trade-off(s) for Georgia?</w:t>
      </w:r>
      <w:bookmarkEnd w:id="43"/>
    </w:p>
    <w:p w:rsidR="0020499E" w:rsidRDefault="0020499E"/>
    <w:p w:rsidR="0020499E" w:rsidRDefault="008E27E1">
      <w:pPr>
        <w:pStyle w:val="Heading3"/>
      </w:pPr>
      <w:bookmarkStart w:id="44" w:name="_Toc389396931"/>
      <w:r>
        <w:t>4.3.1 The need to clarify the purpose(s) of evaluating Georgian research</w:t>
      </w:r>
      <w:bookmarkEnd w:id="44"/>
    </w:p>
    <w:p w:rsidR="0020499E" w:rsidRDefault="0020499E">
      <w:pPr>
        <w:autoSpaceDE/>
        <w:autoSpaceDN/>
        <w:adjustRightInd/>
        <w:jc w:val="left"/>
        <w:rPr>
          <w:rFonts w:cs="Times New Roman"/>
        </w:rPr>
      </w:pPr>
    </w:p>
    <w:p w:rsidR="0020499E" w:rsidRDefault="008E27E1">
      <w:pPr>
        <w:autoSpaceDE/>
        <w:autoSpaceDN/>
        <w:adjustRightInd/>
        <w:rPr>
          <w:rFonts w:eastAsia="Times New Roman" w:cs="Times New Roman"/>
          <w:lang w:eastAsia="fr-FR"/>
        </w:rPr>
      </w:pPr>
      <w:r>
        <w:rPr>
          <w:rFonts w:eastAsia="Times New Roman" w:cs="Times New Roman"/>
          <w:lang w:eastAsia="fr-FR"/>
        </w:rPr>
        <w:t xml:space="preserve">To be effective, the design of an evaluation framework must depend on its purpose(s). Research evaluation aims to do </w:t>
      </w:r>
      <w:r>
        <w:rPr>
          <w:rFonts w:eastAsia="Times New Roman" w:cs="Times New Roman"/>
          <w:lang w:eastAsia="fr-FR"/>
        </w:rPr>
        <w:t>one, or more, of the following (Guthrie et al, 2013):</w:t>
      </w:r>
    </w:p>
    <w:p w:rsidR="0020499E" w:rsidRDefault="0020499E">
      <w:pPr>
        <w:autoSpaceDE/>
        <w:autoSpaceDN/>
        <w:adjustRightInd/>
        <w:jc w:val="left"/>
        <w:rPr>
          <w:rFonts w:eastAsia="Times New Roman" w:cs="Times New Roman"/>
          <w:lang w:eastAsia="fr-FR"/>
        </w:rPr>
      </w:pPr>
    </w:p>
    <w:p w:rsidR="0020499E" w:rsidRDefault="008E27E1">
      <w:pPr>
        <w:pStyle w:val="ListParagraph"/>
        <w:numPr>
          <w:ilvl w:val="1"/>
          <w:numId w:val="20"/>
        </w:numPr>
        <w:autoSpaceDE/>
        <w:autoSpaceDN/>
        <w:adjustRightInd/>
        <w:ind w:left="709"/>
        <w:rPr>
          <w:rFonts w:ascii="Verdana" w:hAnsi="Verdana" w:cs="Times New Roman"/>
          <w:i/>
          <w:sz w:val="20"/>
          <w:szCs w:val="20"/>
          <w:lang w:eastAsia="fr-FR"/>
        </w:rPr>
      </w:pPr>
      <w:r>
        <w:rPr>
          <w:rFonts w:ascii="Verdana" w:hAnsi="Verdana" w:cs="Times New Roman"/>
          <w:b/>
          <w:i/>
          <w:sz w:val="20"/>
          <w:szCs w:val="20"/>
          <w:lang w:eastAsia="fr-FR"/>
        </w:rPr>
        <w:t>advocate:</w:t>
      </w:r>
      <w:r>
        <w:rPr>
          <w:rFonts w:ascii="Verdana" w:hAnsi="Verdana" w:cs="Times New Roman"/>
          <w:i/>
          <w:sz w:val="20"/>
          <w:szCs w:val="20"/>
          <w:lang w:eastAsia="fr-FR"/>
        </w:rPr>
        <w:t xml:space="preserve"> to demonstrate the benefits of supporting research, enhance understanding of research and its processes among policymakers and the public, and make the case for policy and practice change ;</w:t>
      </w:r>
    </w:p>
    <w:p w:rsidR="0020499E" w:rsidRDefault="008E27E1">
      <w:pPr>
        <w:pStyle w:val="ListParagraph"/>
        <w:numPr>
          <w:ilvl w:val="1"/>
          <w:numId w:val="20"/>
        </w:numPr>
        <w:ind w:left="709"/>
        <w:rPr>
          <w:rFonts w:ascii="Verdana" w:hAnsi="Verdana"/>
          <w:i/>
          <w:sz w:val="20"/>
          <w:szCs w:val="20"/>
        </w:rPr>
      </w:pPr>
      <w:r>
        <w:rPr>
          <w:rFonts w:ascii="Verdana" w:hAnsi="Verdana" w:cs="Times New Roman"/>
          <w:b/>
          <w:i/>
          <w:sz w:val="20"/>
          <w:szCs w:val="20"/>
          <w:lang w:eastAsia="fr-FR"/>
        </w:rPr>
        <w:t>s</w:t>
      </w:r>
      <w:r>
        <w:rPr>
          <w:rFonts w:ascii="Verdana" w:hAnsi="Verdana" w:cs="Times New Roman"/>
          <w:b/>
          <w:i/>
          <w:sz w:val="20"/>
          <w:szCs w:val="20"/>
          <w:lang w:eastAsia="fr-FR"/>
        </w:rPr>
        <w:t>how accountability:</w:t>
      </w:r>
      <w:r>
        <w:rPr>
          <w:rFonts w:ascii="Verdana" w:hAnsi="Verdana" w:cs="Times New Roman"/>
          <w:i/>
          <w:sz w:val="20"/>
          <w:szCs w:val="20"/>
          <w:lang w:eastAsia="fr-FR"/>
        </w:rPr>
        <w:t xml:space="preserve"> to show that money and other resources have been used efficiently and effectively, and to hold researchers to account</w:t>
      </w:r>
      <w:r>
        <w:rPr>
          <w:rFonts w:ascii="Verdana" w:hAnsi="Verdana"/>
          <w:i/>
          <w:sz w:val="20"/>
          <w:szCs w:val="20"/>
        </w:rPr>
        <w:t xml:space="preserve"> ;</w:t>
      </w:r>
    </w:p>
    <w:p w:rsidR="0020499E" w:rsidRDefault="008E27E1">
      <w:pPr>
        <w:pStyle w:val="ListParagraph"/>
        <w:numPr>
          <w:ilvl w:val="1"/>
          <w:numId w:val="20"/>
        </w:numPr>
        <w:ind w:left="709"/>
        <w:rPr>
          <w:rFonts w:ascii="Verdana" w:hAnsi="Verdana"/>
          <w:i/>
          <w:sz w:val="20"/>
          <w:szCs w:val="20"/>
        </w:rPr>
      </w:pPr>
      <w:r>
        <w:rPr>
          <w:rFonts w:ascii="Verdana" w:hAnsi="Verdana" w:cs="Times New Roman"/>
          <w:b/>
          <w:i/>
          <w:sz w:val="20"/>
          <w:szCs w:val="20"/>
          <w:lang w:eastAsia="fr-FR"/>
        </w:rPr>
        <w:t>analyze:</w:t>
      </w:r>
      <w:r>
        <w:rPr>
          <w:rFonts w:ascii="Verdana" w:hAnsi="Verdana" w:cs="Times New Roman"/>
          <w:i/>
          <w:sz w:val="20"/>
          <w:szCs w:val="20"/>
          <w:lang w:eastAsia="fr-FR"/>
        </w:rPr>
        <w:t xml:space="preserve"> to understand how and why research is effective and how it can be better supported, feeding into research strategy and decision-making by providing a stronger evidence base;</w:t>
      </w:r>
    </w:p>
    <w:p w:rsidR="0020499E" w:rsidRDefault="008E27E1">
      <w:pPr>
        <w:pStyle w:val="ListParagraph"/>
        <w:numPr>
          <w:ilvl w:val="1"/>
          <w:numId w:val="20"/>
        </w:numPr>
        <w:autoSpaceDE/>
        <w:autoSpaceDN/>
        <w:adjustRightInd/>
        <w:ind w:left="709"/>
        <w:rPr>
          <w:rFonts w:ascii="Verdana" w:hAnsi="Verdana" w:cs="Times New Roman"/>
          <w:i/>
          <w:sz w:val="20"/>
          <w:szCs w:val="20"/>
          <w:lang w:eastAsia="fr-FR"/>
        </w:rPr>
      </w:pPr>
      <w:r>
        <w:rPr>
          <w:rFonts w:ascii="Verdana" w:hAnsi="Verdana" w:cs="Times New Roman"/>
          <w:b/>
          <w:i/>
          <w:sz w:val="20"/>
          <w:szCs w:val="20"/>
          <w:lang w:eastAsia="fr-FR"/>
        </w:rPr>
        <w:t>allocate:</w:t>
      </w:r>
      <w:r>
        <w:rPr>
          <w:rFonts w:ascii="Verdana" w:hAnsi="Verdana" w:cs="Times New Roman"/>
          <w:i/>
          <w:sz w:val="20"/>
          <w:szCs w:val="20"/>
          <w:lang w:eastAsia="fr-FR"/>
        </w:rPr>
        <w:t xml:space="preserve"> to determine where best to allocate funds in the future, making the bes</w:t>
      </w:r>
      <w:r>
        <w:rPr>
          <w:rFonts w:ascii="Verdana" w:hAnsi="Verdana" w:cs="Times New Roman"/>
          <w:i/>
          <w:sz w:val="20"/>
          <w:szCs w:val="20"/>
          <w:lang w:eastAsia="fr-FR"/>
        </w:rPr>
        <w:t>t use possible of a limited funding pot.</w:t>
      </w:r>
    </w:p>
    <w:p w:rsidR="0020499E" w:rsidRDefault="0020499E">
      <w:pPr>
        <w:rPr>
          <w:rFonts w:cs="Times New Roman"/>
        </w:rPr>
      </w:pPr>
    </w:p>
    <w:p w:rsidR="0020499E" w:rsidRDefault="008E27E1">
      <w:pPr>
        <w:rPr>
          <w:rFonts w:cs="Times New Roman"/>
        </w:rPr>
      </w:pPr>
      <w:r>
        <w:rPr>
          <w:rFonts w:cs="Times New Roman"/>
        </w:rPr>
        <w:t>What is the purpose of research evaluation in Georgia? Considering the shortcomings identified above, the last two objectives - “analyze” and “allocate” are, in that order, the most important.</w:t>
      </w:r>
    </w:p>
    <w:p w:rsidR="0020499E" w:rsidRDefault="0020499E">
      <w:pPr>
        <w:rPr>
          <w:rFonts w:cs="Times New Roman"/>
        </w:rPr>
      </w:pPr>
    </w:p>
    <w:p w:rsidR="0020499E" w:rsidRDefault="008E27E1">
      <w:r>
        <w:rPr>
          <w:rFonts w:cs="Times New Roman"/>
        </w:rPr>
        <w:t>First, an in-depth a</w:t>
      </w:r>
      <w:r>
        <w:rPr>
          <w:rFonts w:cs="Times New Roman"/>
        </w:rPr>
        <w:t xml:space="preserve">nalysis of Georgian research is urgently needed. It is a </w:t>
      </w:r>
      <w:r>
        <w:rPr>
          <w:color w:val="000000" w:themeColor="text1"/>
        </w:rPr>
        <w:t xml:space="preserve">prerequisite to defining a research policy and it supposes that </w:t>
      </w:r>
      <w:r>
        <w:rPr>
          <w:rFonts w:cs="Times New Roman"/>
        </w:rPr>
        <w:t xml:space="preserve">the main data are available. </w:t>
      </w:r>
      <w:r>
        <w:rPr>
          <w:color w:val="000000" w:themeColor="text1"/>
        </w:rPr>
        <w:t xml:space="preserve">The main </w:t>
      </w:r>
      <w:r>
        <w:rPr>
          <w:rFonts w:cs="Times New Roman"/>
        </w:rPr>
        <w:lastRenderedPageBreak/>
        <w:t>bibliometric databases are acceptable sources of information for most natural science fields, but</w:t>
      </w:r>
      <w:r>
        <w:rPr>
          <w:rFonts w:cs="Times New Roman"/>
        </w:rPr>
        <w:t xml:space="preserve"> they </w:t>
      </w:r>
      <w:r>
        <w:rPr>
          <w:color w:val="000000" w:themeColor="text1"/>
        </w:rPr>
        <w:t xml:space="preserve">do not provide an accurate picture of social sciences and humanities. At least for these latter fields, a broad collection of data among the research institutes themselves followed by a peer-review assessment </w:t>
      </w:r>
      <w:r>
        <w:rPr>
          <w:rFonts w:cs="Times New Roman"/>
        </w:rPr>
        <w:t>is a necessary investment</w:t>
      </w:r>
      <w:r>
        <w:rPr>
          <w:color w:val="000000" w:themeColor="text1"/>
        </w:rPr>
        <w:t>. In this regard</w:t>
      </w:r>
      <w:r>
        <w:rPr>
          <w:color w:val="000000" w:themeColor="text1"/>
        </w:rPr>
        <w:t xml:space="preserve">, </w:t>
      </w:r>
      <w:r>
        <w:t>Georgia’s size is an asset: it allows an exhaustive and in-depth evaluation within a reasonable timeframe.</w:t>
      </w:r>
    </w:p>
    <w:p w:rsidR="0020499E" w:rsidRDefault="0020499E">
      <w:pPr>
        <w:rPr>
          <w:rFonts w:cs="Times New Roman"/>
        </w:rPr>
      </w:pPr>
    </w:p>
    <w:p w:rsidR="0020499E" w:rsidRDefault="008E27E1">
      <w:pPr>
        <w:rPr>
          <w:rFonts w:cs="Times New Roman"/>
        </w:rPr>
      </w:pPr>
      <w:r>
        <w:rPr>
          <w:rFonts w:cs="Times New Roman"/>
        </w:rPr>
        <w:t>Second, even if the current research budget is significantly increased, choices will have to be made, that is, establishing priority areas so that</w:t>
      </w:r>
      <w:r>
        <w:rPr>
          <w:rFonts w:cs="Times New Roman"/>
        </w:rPr>
        <w:t xml:space="preserve"> grant allocation criteria may be defined accordingly. It is difficult to prioritize fields of research everywhere, but in the case of Georgia it is even more sensitive, because the size of the research budget means that non-priority areas will be virtuall</w:t>
      </w:r>
      <w:r>
        <w:rPr>
          <w:rFonts w:cs="Times New Roman"/>
        </w:rPr>
        <w:t xml:space="preserve">y abandoned. </w:t>
      </w:r>
    </w:p>
    <w:p w:rsidR="0020499E" w:rsidRDefault="0020499E"/>
    <w:p w:rsidR="0020499E" w:rsidRDefault="008E27E1">
      <w:pPr>
        <w:rPr>
          <w:rFonts w:cs="Times New Roman"/>
        </w:rPr>
      </w:pPr>
      <w:r>
        <w:rPr>
          <w:rFonts w:cs="Times New Roman"/>
        </w:rPr>
        <w:t xml:space="preserve">Unfortunately, the two objectives described above – analyze and allocate - cannot be achieved using the same evaluation framework. The first requires a comprehensive </w:t>
      </w:r>
      <w:r>
        <w:rPr>
          <w:rFonts w:cs="AGaramondPro-Regular"/>
        </w:rPr>
        <w:t>formative approach to show ‘how’ and ‘why’ the research is effective, where</w:t>
      </w:r>
      <w:r>
        <w:rPr>
          <w:rFonts w:cs="AGaramondPro-Regular"/>
        </w:rPr>
        <w:t>as the second has to be more summative because it requires comparisons to be made among research fields and within research fields, among research institutions.</w:t>
      </w:r>
    </w:p>
    <w:p w:rsidR="0020499E" w:rsidRDefault="0020499E">
      <w:pPr>
        <w:rPr>
          <w:rFonts w:cs="FrutigerLTStd-Bold"/>
          <w:bCs/>
        </w:rPr>
      </w:pPr>
    </w:p>
    <w:p w:rsidR="0020499E" w:rsidRDefault="008E27E1">
      <w:pPr>
        <w:rPr>
          <w:rFonts w:cs="FrutigerLTStd-Bold"/>
          <w:bCs/>
        </w:rPr>
      </w:pPr>
      <w:r>
        <w:rPr>
          <w:rFonts w:cs="FrutigerLTStd-Bold"/>
          <w:bCs/>
        </w:rPr>
        <w:t>The table below describes the respective purposes of the frameworks in force in a selection of</w:t>
      </w:r>
      <w:r>
        <w:rPr>
          <w:rFonts w:cs="FrutigerLTStd-Bold"/>
          <w:bCs/>
        </w:rPr>
        <w:t xml:space="preserve"> countries:</w:t>
      </w:r>
    </w:p>
    <w:p w:rsidR="0020499E" w:rsidRDefault="0020499E">
      <w:pPr>
        <w:jc w:val="left"/>
        <w:rPr>
          <w:rFonts w:cs="Times New Roman"/>
        </w:rPr>
      </w:pPr>
    </w:p>
    <w:tbl>
      <w:tblPr>
        <w:tblStyle w:val="TableGrid"/>
        <w:tblW w:w="9639" w:type="dxa"/>
        <w:tblInd w:w="108" w:type="dxa"/>
        <w:tblLayout w:type="fixed"/>
        <w:tblLook w:val="04A0"/>
      </w:tblPr>
      <w:tblGrid>
        <w:gridCol w:w="2127"/>
        <w:gridCol w:w="1559"/>
        <w:gridCol w:w="1417"/>
        <w:gridCol w:w="1560"/>
        <w:gridCol w:w="1559"/>
        <w:gridCol w:w="1417"/>
      </w:tblGrid>
      <w:tr w:rsidR="0020499E">
        <w:tc>
          <w:tcPr>
            <w:tcW w:w="2127" w:type="dxa"/>
          </w:tcPr>
          <w:p w:rsidR="0020499E" w:rsidRDefault="008E27E1">
            <w:pPr>
              <w:ind w:left="-108"/>
              <w:jc w:val="center"/>
              <w:rPr>
                <w:rFonts w:cs="FrutigerLTStd-Bold"/>
                <w:b/>
                <w:bCs/>
                <w:sz w:val="20"/>
                <w:szCs w:val="20"/>
              </w:rPr>
            </w:pPr>
            <w:r>
              <w:rPr>
                <w:rFonts w:cs="FrutigerLTStd-Bold"/>
                <w:b/>
                <w:bCs/>
                <w:sz w:val="20"/>
                <w:szCs w:val="20"/>
              </w:rPr>
              <w:t>Framework purpose(s)</w:t>
            </w:r>
          </w:p>
        </w:tc>
        <w:tc>
          <w:tcPr>
            <w:tcW w:w="1559" w:type="dxa"/>
          </w:tcPr>
          <w:p w:rsidR="0020499E" w:rsidRDefault="008E27E1">
            <w:pPr>
              <w:jc w:val="center"/>
              <w:rPr>
                <w:rFonts w:cs="FrutigerLTStd-Bold"/>
                <w:b/>
                <w:bCs/>
                <w:sz w:val="20"/>
                <w:szCs w:val="20"/>
              </w:rPr>
            </w:pPr>
            <w:r>
              <w:rPr>
                <w:rFonts w:cs="FrutigerLTStd-Roman"/>
                <w:b/>
                <w:sz w:val="20"/>
                <w:szCs w:val="20"/>
                <w:lang w:val="en-US"/>
              </w:rPr>
              <w:t>UK</w:t>
            </w:r>
          </w:p>
        </w:tc>
        <w:tc>
          <w:tcPr>
            <w:tcW w:w="1417" w:type="dxa"/>
          </w:tcPr>
          <w:p w:rsidR="0020499E" w:rsidRDefault="008E27E1">
            <w:pPr>
              <w:jc w:val="center"/>
              <w:rPr>
                <w:rFonts w:cs="FrutigerLTStd-Roman"/>
                <w:b/>
              </w:rPr>
            </w:pPr>
            <w:r>
              <w:rPr>
                <w:rFonts w:cs="FrutigerLTStd-Roman"/>
                <w:b/>
              </w:rPr>
              <w:t>Australia</w:t>
            </w:r>
          </w:p>
        </w:tc>
        <w:tc>
          <w:tcPr>
            <w:tcW w:w="1560" w:type="dxa"/>
          </w:tcPr>
          <w:p w:rsidR="0020499E" w:rsidRDefault="008E27E1">
            <w:pPr>
              <w:jc w:val="center"/>
              <w:rPr>
                <w:rFonts w:cs="FrutigerLTStd-Bold"/>
                <w:b/>
                <w:bCs/>
                <w:sz w:val="20"/>
                <w:szCs w:val="20"/>
              </w:rPr>
            </w:pPr>
            <w:r>
              <w:rPr>
                <w:rFonts w:cs="FrutigerLTStd-Roman"/>
                <w:b/>
                <w:sz w:val="20"/>
                <w:szCs w:val="20"/>
              </w:rPr>
              <w:t>US</w:t>
            </w:r>
          </w:p>
        </w:tc>
        <w:tc>
          <w:tcPr>
            <w:tcW w:w="1559" w:type="dxa"/>
          </w:tcPr>
          <w:p w:rsidR="0020499E" w:rsidRDefault="008E27E1">
            <w:pPr>
              <w:ind w:right="-108"/>
              <w:jc w:val="center"/>
              <w:rPr>
                <w:rFonts w:cs="FrutigerLTStd-Roman"/>
                <w:b/>
                <w:sz w:val="20"/>
                <w:szCs w:val="20"/>
                <w:lang w:val="en-US"/>
              </w:rPr>
            </w:pPr>
            <w:r>
              <w:rPr>
                <w:rFonts w:cs="FrutigerLTStd-Roman"/>
                <w:b/>
                <w:sz w:val="20"/>
                <w:szCs w:val="20"/>
                <w:lang w:val="en-US"/>
              </w:rPr>
              <w:t>Canada</w:t>
            </w:r>
          </w:p>
          <w:p w:rsidR="0020499E" w:rsidRDefault="0020499E">
            <w:pPr>
              <w:jc w:val="center"/>
              <w:rPr>
                <w:rFonts w:cs="FrutigerLTStd-Bold"/>
                <w:b/>
                <w:bCs/>
                <w:sz w:val="20"/>
                <w:szCs w:val="20"/>
              </w:rPr>
            </w:pPr>
          </w:p>
        </w:tc>
        <w:tc>
          <w:tcPr>
            <w:tcW w:w="1417" w:type="dxa"/>
          </w:tcPr>
          <w:p w:rsidR="0020499E" w:rsidRDefault="008E27E1">
            <w:pPr>
              <w:ind w:right="-108"/>
              <w:jc w:val="center"/>
              <w:rPr>
                <w:rFonts w:cs="FrutigerLTStd-Roman"/>
                <w:b/>
                <w:sz w:val="20"/>
                <w:szCs w:val="20"/>
              </w:rPr>
            </w:pPr>
            <w:r>
              <w:rPr>
                <w:rFonts w:cs="FrutigerLTStd-Roman"/>
                <w:b/>
                <w:sz w:val="20"/>
                <w:szCs w:val="20"/>
              </w:rPr>
              <w:t>Europe</w:t>
            </w:r>
          </w:p>
          <w:p w:rsidR="0020499E" w:rsidRDefault="0020499E">
            <w:pPr>
              <w:jc w:val="center"/>
              <w:rPr>
                <w:rFonts w:cs="FrutigerLTStd-Bold"/>
                <w:b/>
                <w:bCs/>
                <w:sz w:val="20"/>
                <w:szCs w:val="20"/>
              </w:rPr>
            </w:pPr>
          </w:p>
        </w:tc>
      </w:tr>
      <w:tr w:rsidR="0020499E">
        <w:tc>
          <w:tcPr>
            <w:tcW w:w="2127" w:type="dxa"/>
          </w:tcPr>
          <w:p w:rsidR="0020499E" w:rsidRDefault="008E27E1">
            <w:pPr>
              <w:ind w:left="360"/>
              <w:rPr>
                <w:rFonts w:eastAsia="ZapfDingbatsStd" w:cs="ZapfDingbatsStd"/>
              </w:rPr>
            </w:pPr>
            <w:r>
              <w:rPr>
                <w:rFonts w:cs="FrutigerLTStd-Roman"/>
              </w:rPr>
              <w:t>Advocacy</w:t>
            </w:r>
          </w:p>
        </w:tc>
        <w:tc>
          <w:tcPr>
            <w:tcW w:w="1559" w:type="dxa"/>
          </w:tcPr>
          <w:p w:rsidR="0020499E" w:rsidRDefault="008E27E1">
            <w:pPr>
              <w:ind w:left="33" w:right="-108"/>
              <w:jc w:val="center"/>
              <w:rPr>
                <w:rFonts w:cs="FrutigerLTStd-Bold"/>
                <w:b/>
                <w:bCs/>
                <w:lang w:val="en-US"/>
              </w:rPr>
            </w:pPr>
            <w:r>
              <w:rPr>
                <w:rFonts w:ascii="MS Gothic" w:eastAsia="MS Gothic" w:hAnsi="MS Gothic" w:cs="MS Gothic" w:hint="eastAsia"/>
              </w:rPr>
              <w:t>✓</w:t>
            </w:r>
          </w:p>
        </w:tc>
        <w:tc>
          <w:tcPr>
            <w:tcW w:w="1417" w:type="dxa"/>
          </w:tcPr>
          <w:p w:rsidR="0020499E" w:rsidRDefault="008E27E1">
            <w:pPr>
              <w:ind w:left="34" w:right="-108"/>
              <w:jc w:val="center"/>
              <w:rPr>
                <w:rFonts w:cs="FrutigerLTStd-Bold"/>
                <w:b/>
                <w:bCs/>
              </w:rPr>
            </w:pPr>
            <w:r>
              <w:rPr>
                <w:rFonts w:ascii="MS Gothic" w:eastAsia="MS Gothic" w:hAnsi="MS Gothic" w:cs="MS Gothic" w:hint="eastAsia"/>
              </w:rPr>
              <w:t>✓</w:t>
            </w:r>
          </w:p>
        </w:tc>
        <w:tc>
          <w:tcPr>
            <w:tcW w:w="1560" w:type="dxa"/>
          </w:tcPr>
          <w:p w:rsidR="0020499E" w:rsidRDefault="008E27E1">
            <w:pPr>
              <w:ind w:left="34" w:right="-108"/>
              <w:jc w:val="center"/>
              <w:rPr>
                <w:rFonts w:cs="FrutigerLTStd-Bold"/>
                <w:b/>
                <w:bCs/>
                <w:sz w:val="20"/>
                <w:szCs w:val="20"/>
              </w:rPr>
            </w:pPr>
            <w:r>
              <w:rPr>
                <w:rFonts w:ascii="MS Gothic" w:eastAsia="MS Gothic" w:hAnsi="MS Gothic" w:cs="MS Gothic" w:hint="eastAsia"/>
                <w:sz w:val="20"/>
                <w:szCs w:val="20"/>
              </w:rPr>
              <w:t>✓</w:t>
            </w:r>
          </w:p>
        </w:tc>
        <w:tc>
          <w:tcPr>
            <w:tcW w:w="1559" w:type="dxa"/>
          </w:tcPr>
          <w:p w:rsidR="0020499E" w:rsidRDefault="008E27E1">
            <w:pPr>
              <w:ind w:left="34" w:right="-108"/>
              <w:jc w:val="center"/>
              <w:rPr>
                <w:rFonts w:cs="FrutigerLTStd-Bold"/>
                <w:b/>
                <w:bCs/>
              </w:rPr>
            </w:pPr>
            <w:r>
              <w:rPr>
                <w:rFonts w:ascii="MS Gothic" w:eastAsia="MS Gothic" w:hAnsi="MS Gothic" w:cs="MS Gothic" w:hint="eastAsia"/>
              </w:rPr>
              <w:t>✓</w:t>
            </w:r>
          </w:p>
        </w:tc>
        <w:tc>
          <w:tcPr>
            <w:tcW w:w="1417" w:type="dxa"/>
          </w:tcPr>
          <w:p w:rsidR="0020499E" w:rsidRDefault="008E27E1">
            <w:pPr>
              <w:ind w:left="34" w:right="-108"/>
              <w:jc w:val="center"/>
              <w:rPr>
                <w:rFonts w:cs="FrutigerLTStd-Bold"/>
                <w:b/>
                <w:bCs/>
              </w:rPr>
            </w:pPr>
            <w:r>
              <w:rPr>
                <w:rFonts w:ascii="MS Gothic" w:eastAsia="MS Gothic" w:hAnsi="MS Gothic" w:cs="MS Gothic" w:hint="eastAsia"/>
              </w:rPr>
              <w:t>✓</w:t>
            </w:r>
          </w:p>
        </w:tc>
      </w:tr>
      <w:tr w:rsidR="0020499E">
        <w:tc>
          <w:tcPr>
            <w:tcW w:w="2127" w:type="dxa"/>
          </w:tcPr>
          <w:p w:rsidR="0020499E" w:rsidRDefault="008E27E1">
            <w:pPr>
              <w:ind w:left="360"/>
              <w:rPr>
                <w:rFonts w:eastAsia="ZapfDingbatsStd" w:cs="ZapfDingbatsStd"/>
              </w:rPr>
            </w:pPr>
            <w:r>
              <w:rPr>
                <w:rFonts w:cs="FrutigerLTStd-Roman"/>
              </w:rPr>
              <w:t>Accountability</w:t>
            </w:r>
          </w:p>
        </w:tc>
        <w:tc>
          <w:tcPr>
            <w:tcW w:w="1559" w:type="dxa"/>
          </w:tcPr>
          <w:p w:rsidR="0020499E" w:rsidRDefault="008E27E1">
            <w:pPr>
              <w:ind w:left="33" w:right="-108"/>
              <w:jc w:val="center"/>
              <w:rPr>
                <w:rFonts w:cs="FrutigerLTStd-Bold"/>
                <w:b/>
                <w:bCs/>
              </w:rPr>
            </w:pPr>
            <w:r>
              <w:rPr>
                <w:rFonts w:ascii="MS Gothic" w:eastAsia="MS Gothic" w:hAnsi="MS Gothic" w:cs="MS Gothic" w:hint="eastAsia"/>
              </w:rPr>
              <w:t>✓</w:t>
            </w:r>
          </w:p>
        </w:tc>
        <w:tc>
          <w:tcPr>
            <w:tcW w:w="1417" w:type="dxa"/>
          </w:tcPr>
          <w:p w:rsidR="0020499E" w:rsidRDefault="008E27E1">
            <w:pPr>
              <w:ind w:left="34" w:right="-108"/>
              <w:jc w:val="center"/>
              <w:rPr>
                <w:rFonts w:cs="FrutigerLTStd-Bold"/>
                <w:b/>
                <w:bCs/>
              </w:rPr>
            </w:pPr>
            <w:r>
              <w:rPr>
                <w:rFonts w:ascii="MS Gothic" w:eastAsia="MS Gothic" w:hAnsi="MS Gothic" w:cs="MS Gothic" w:hint="eastAsia"/>
              </w:rPr>
              <w:t>✓</w:t>
            </w:r>
          </w:p>
        </w:tc>
        <w:tc>
          <w:tcPr>
            <w:tcW w:w="1560" w:type="dxa"/>
          </w:tcPr>
          <w:p w:rsidR="0020499E" w:rsidRDefault="008E27E1">
            <w:pPr>
              <w:ind w:left="34" w:right="-108"/>
              <w:jc w:val="center"/>
              <w:rPr>
                <w:rFonts w:cs="FrutigerLTStd-Bold"/>
                <w:b/>
                <w:bCs/>
              </w:rPr>
            </w:pPr>
            <w:r>
              <w:rPr>
                <w:rFonts w:ascii="MS Gothic" w:eastAsia="MS Gothic" w:hAnsi="MS Gothic" w:cs="MS Gothic" w:hint="eastAsia"/>
              </w:rPr>
              <w:t>✓</w:t>
            </w:r>
          </w:p>
        </w:tc>
        <w:tc>
          <w:tcPr>
            <w:tcW w:w="1559" w:type="dxa"/>
          </w:tcPr>
          <w:p w:rsidR="0020499E" w:rsidRDefault="008E27E1">
            <w:pPr>
              <w:ind w:left="34" w:right="-108"/>
              <w:jc w:val="center"/>
              <w:rPr>
                <w:rFonts w:cs="FrutigerLTStd-Bold"/>
                <w:b/>
                <w:bCs/>
                <w:lang w:val="en-US"/>
              </w:rPr>
            </w:pPr>
            <w:r>
              <w:rPr>
                <w:rFonts w:ascii="MS Gothic" w:eastAsia="MS Gothic" w:hAnsi="MS Gothic" w:cs="MS Gothic" w:hint="eastAsia"/>
              </w:rPr>
              <w:t>✓</w:t>
            </w:r>
          </w:p>
        </w:tc>
        <w:tc>
          <w:tcPr>
            <w:tcW w:w="1417" w:type="dxa"/>
          </w:tcPr>
          <w:p w:rsidR="0020499E" w:rsidRDefault="008E27E1">
            <w:pPr>
              <w:ind w:left="34" w:right="-108"/>
              <w:jc w:val="center"/>
              <w:rPr>
                <w:rFonts w:cs="FrutigerLTStd-Bold"/>
                <w:b/>
                <w:bCs/>
                <w:lang w:val="en-US"/>
              </w:rPr>
            </w:pPr>
            <w:r>
              <w:rPr>
                <w:rFonts w:ascii="MS Gothic" w:eastAsia="MS Gothic" w:hAnsi="MS Gothic" w:cs="MS Gothic" w:hint="eastAsia"/>
              </w:rPr>
              <w:t>✓</w:t>
            </w:r>
          </w:p>
        </w:tc>
      </w:tr>
      <w:tr w:rsidR="0020499E">
        <w:tc>
          <w:tcPr>
            <w:tcW w:w="2127" w:type="dxa"/>
          </w:tcPr>
          <w:p w:rsidR="0020499E" w:rsidRDefault="008E27E1">
            <w:pPr>
              <w:ind w:left="360"/>
              <w:rPr>
                <w:rFonts w:eastAsia="ZapfDingbatsStd" w:cs="ZapfDingbatsStd"/>
              </w:rPr>
            </w:pPr>
            <w:r>
              <w:rPr>
                <w:rFonts w:cs="FrutigerLTStd-Roman"/>
              </w:rPr>
              <w:t>Analysis</w:t>
            </w:r>
          </w:p>
        </w:tc>
        <w:tc>
          <w:tcPr>
            <w:tcW w:w="1559" w:type="dxa"/>
          </w:tcPr>
          <w:p w:rsidR="0020499E" w:rsidRDefault="0020499E">
            <w:pPr>
              <w:ind w:left="33" w:right="-108"/>
              <w:jc w:val="center"/>
              <w:rPr>
                <w:rFonts w:cs="FrutigerLTStd-Bold"/>
                <w:b/>
                <w:bCs/>
              </w:rPr>
            </w:pPr>
          </w:p>
        </w:tc>
        <w:tc>
          <w:tcPr>
            <w:tcW w:w="1417" w:type="dxa"/>
          </w:tcPr>
          <w:p w:rsidR="0020499E" w:rsidRDefault="0020499E">
            <w:pPr>
              <w:ind w:left="34" w:right="-108"/>
              <w:jc w:val="center"/>
              <w:rPr>
                <w:rFonts w:cs="FrutigerLTStd-Bold"/>
                <w:b/>
                <w:bCs/>
              </w:rPr>
            </w:pPr>
          </w:p>
        </w:tc>
        <w:tc>
          <w:tcPr>
            <w:tcW w:w="1560" w:type="dxa"/>
          </w:tcPr>
          <w:p w:rsidR="0020499E" w:rsidRDefault="0020499E">
            <w:pPr>
              <w:ind w:left="34" w:right="-108"/>
              <w:jc w:val="center"/>
              <w:rPr>
                <w:rFonts w:cs="FrutigerLTStd-Bold"/>
                <w:b/>
                <w:bCs/>
                <w:lang w:val="en-US"/>
              </w:rPr>
            </w:pPr>
          </w:p>
        </w:tc>
        <w:tc>
          <w:tcPr>
            <w:tcW w:w="1559" w:type="dxa"/>
          </w:tcPr>
          <w:p w:rsidR="0020499E" w:rsidRDefault="008E27E1">
            <w:pPr>
              <w:ind w:left="34" w:right="-108"/>
              <w:jc w:val="center"/>
              <w:rPr>
                <w:rFonts w:cs="FrutigerLTStd-Bold"/>
                <w:b/>
                <w:bCs/>
                <w:lang w:val="en-US"/>
              </w:rPr>
            </w:pPr>
            <w:r>
              <w:rPr>
                <w:rFonts w:ascii="MS Gothic" w:eastAsia="MS Gothic" w:hAnsi="MS Gothic" w:cs="MS Gothic" w:hint="eastAsia"/>
              </w:rPr>
              <w:t>✓</w:t>
            </w:r>
          </w:p>
        </w:tc>
        <w:tc>
          <w:tcPr>
            <w:tcW w:w="1417" w:type="dxa"/>
          </w:tcPr>
          <w:p w:rsidR="0020499E" w:rsidRDefault="008E27E1">
            <w:pPr>
              <w:ind w:left="34" w:right="-108"/>
              <w:jc w:val="center"/>
              <w:rPr>
                <w:rFonts w:cs="FrutigerLTStd-Bold"/>
                <w:b/>
                <w:bCs/>
                <w:lang w:val="en-US"/>
              </w:rPr>
            </w:pPr>
            <w:r>
              <w:rPr>
                <w:rFonts w:ascii="MS Gothic" w:eastAsia="MS Gothic" w:hAnsi="MS Gothic" w:cs="MS Gothic" w:hint="eastAsia"/>
              </w:rPr>
              <w:t>✓</w:t>
            </w:r>
          </w:p>
        </w:tc>
      </w:tr>
      <w:tr w:rsidR="0020499E">
        <w:tc>
          <w:tcPr>
            <w:tcW w:w="2127" w:type="dxa"/>
          </w:tcPr>
          <w:p w:rsidR="0020499E" w:rsidRDefault="008E27E1">
            <w:pPr>
              <w:ind w:left="360"/>
              <w:rPr>
                <w:rFonts w:cs="Times New Roman"/>
              </w:rPr>
            </w:pPr>
            <w:r>
              <w:rPr>
                <w:rFonts w:cs="FrutigerLTStd-Roman"/>
              </w:rPr>
              <w:t>Allocation</w:t>
            </w:r>
          </w:p>
        </w:tc>
        <w:tc>
          <w:tcPr>
            <w:tcW w:w="1559" w:type="dxa"/>
          </w:tcPr>
          <w:p w:rsidR="0020499E" w:rsidRDefault="008E27E1">
            <w:pPr>
              <w:ind w:left="33" w:right="-108"/>
              <w:jc w:val="center"/>
              <w:rPr>
                <w:rFonts w:cs="FrutigerLTStd-Bold"/>
                <w:b/>
                <w:bCs/>
              </w:rPr>
            </w:pPr>
            <w:r>
              <w:rPr>
                <w:rFonts w:ascii="MS Gothic" w:eastAsia="MS Gothic" w:hAnsi="MS Gothic" w:cs="MS Gothic" w:hint="eastAsia"/>
              </w:rPr>
              <w:t>✓</w:t>
            </w:r>
          </w:p>
        </w:tc>
        <w:tc>
          <w:tcPr>
            <w:tcW w:w="1417" w:type="dxa"/>
          </w:tcPr>
          <w:p w:rsidR="0020499E" w:rsidRDefault="008E27E1">
            <w:pPr>
              <w:ind w:left="34" w:right="-108"/>
              <w:jc w:val="center"/>
              <w:rPr>
                <w:rFonts w:cs="FrutigerLTStd-Bold"/>
                <w:b/>
                <w:bCs/>
                <w:sz w:val="20"/>
                <w:szCs w:val="20"/>
              </w:rPr>
            </w:pPr>
            <w:r>
              <w:rPr>
                <w:rFonts w:ascii="MS Gothic" w:eastAsia="MS Gothic" w:hAnsi="MS Gothic" w:cs="MS Gothic" w:hint="eastAsia"/>
                <w:sz w:val="20"/>
                <w:szCs w:val="20"/>
              </w:rPr>
              <w:t>✓</w:t>
            </w:r>
          </w:p>
        </w:tc>
        <w:tc>
          <w:tcPr>
            <w:tcW w:w="1560" w:type="dxa"/>
          </w:tcPr>
          <w:p w:rsidR="0020499E" w:rsidRDefault="008E27E1">
            <w:pPr>
              <w:ind w:left="34" w:right="-108"/>
              <w:jc w:val="center"/>
              <w:rPr>
                <w:rFonts w:cs="FrutigerLTStd-Bold"/>
                <w:b/>
                <w:bCs/>
                <w:sz w:val="20"/>
                <w:szCs w:val="20"/>
              </w:rPr>
            </w:pPr>
            <w:r>
              <w:rPr>
                <w:rFonts w:ascii="MS Gothic" w:eastAsia="MS Gothic" w:hAnsi="MS Gothic" w:cs="MS Gothic" w:hint="eastAsia"/>
                <w:sz w:val="20"/>
                <w:szCs w:val="20"/>
              </w:rPr>
              <w:t>✓</w:t>
            </w:r>
          </w:p>
        </w:tc>
        <w:tc>
          <w:tcPr>
            <w:tcW w:w="1559" w:type="dxa"/>
          </w:tcPr>
          <w:p w:rsidR="0020499E" w:rsidRDefault="0020499E">
            <w:pPr>
              <w:ind w:left="34" w:right="-108"/>
              <w:jc w:val="center"/>
              <w:rPr>
                <w:rFonts w:cs="FrutigerLTStd-Bold"/>
                <w:b/>
                <w:bCs/>
                <w:lang w:val="en-US"/>
              </w:rPr>
            </w:pPr>
          </w:p>
        </w:tc>
        <w:tc>
          <w:tcPr>
            <w:tcW w:w="1417" w:type="dxa"/>
          </w:tcPr>
          <w:p w:rsidR="0020499E" w:rsidRDefault="0020499E">
            <w:pPr>
              <w:ind w:left="34" w:right="-108"/>
              <w:jc w:val="center"/>
              <w:rPr>
                <w:rFonts w:cs="FrutigerLTStd-Bold"/>
                <w:b/>
                <w:bCs/>
                <w:lang w:val="en-US"/>
              </w:rPr>
            </w:pPr>
          </w:p>
        </w:tc>
      </w:tr>
    </w:tbl>
    <w:p w:rsidR="0020499E" w:rsidRDefault="008E27E1">
      <w:pPr>
        <w:jc w:val="left"/>
        <w:rPr>
          <w:rFonts w:eastAsiaTheme="minorHAnsi" w:cs="FrutigerLTStd-Roman"/>
          <w:sz w:val="18"/>
        </w:rPr>
      </w:pPr>
      <w:r>
        <w:rPr>
          <w:rFonts w:eastAsiaTheme="minorHAnsi" w:cs="FrutigerLTStd-Roman"/>
          <w:sz w:val="18"/>
        </w:rPr>
        <w:t>Adapted from Guthrie et al.</w:t>
      </w:r>
    </w:p>
    <w:p w:rsidR="0020499E" w:rsidRDefault="0020499E">
      <w:pPr>
        <w:rPr>
          <w:rFonts w:cs="Times New Roman"/>
        </w:rPr>
      </w:pPr>
    </w:p>
    <w:p w:rsidR="0020499E" w:rsidRDefault="008E27E1">
      <w:pPr>
        <w:rPr>
          <w:rFonts w:cs="Times New Roman"/>
        </w:rPr>
      </w:pPr>
      <w:r>
        <w:rPr>
          <w:rFonts w:cs="AGaramondPro-Regular"/>
        </w:rPr>
        <w:t xml:space="preserve">These examples confirm that the same framework cannot be suited for both </w:t>
      </w:r>
      <w:r>
        <w:rPr>
          <w:rFonts w:cs="AGaramondPro-Regular"/>
        </w:rPr>
        <w:t>analysis and allocation. To achieve both aims effectively requires two parallel, though potentially connected, evaluation processes (Guthrie et al. 2013).</w:t>
      </w:r>
    </w:p>
    <w:p w:rsidR="0020499E" w:rsidRDefault="0020499E"/>
    <w:p w:rsidR="0020499E" w:rsidRDefault="008E27E1">
      <w:pPr>
        <w:pStyle w:val="Heading3"/>
      </w:pPr>
      <w:bookmarkStart w:id="45" w:name="_Toc389396932"/>
      <w:r>
        <w:t>4.3.2 Tentative framework for research funding</w:t>
      </w:r>
      <w:bookmarkEnd w:id="45"/>
    </w:p>
    <w:p w:rsidR="0020499E" w:rsidRDefault="0020499E"/>
    <w:p w:rsidR="0020499E" w:rsidRDefault="008E27E1">
      <w:r>
        <w:t xml:space="preserve">It is not in the scope of this mission to propose a </w:t>
      </w:r>
      <w:r>
        <w:t xml:space="preserve">research evaluation framework or a funding strategy. Therefore, the foregoing will be limited to general orientations identified in the previous section. </w:t>
      </w:r>
    </w:p>
    <w:p w:rsidR="0020499E" w:rsidRDefault="0020499E"/>
    <w:p w:rsidR="0020499E" w:rsidRDefault="008E27E1">
      <w:r>
        <w:t>Clearly, multi-layered frameworks such as the German assessment system seem to be the relevant bench</w:t>
      </w:r>
      <w:r>
        <w:t xml:space="preserve">marks for Georgia, but with a philosophy comparable to the Italian assessment system, that is, a comprehensive assessment whose initial objective will be to achieve an in-depth understanding of the state of research in every field. </w:t>
      </w:r>
    </w:p>
    <w:p w:rsidR="0020499E" w:rsidRDefault="0020499E"/>
    <w:p w:rsidR="0020499E" w:rsidRDefault="008E27E1">
      <w:r>
        <w:t>Since research assessm</w:t>
      </w:r>
      <w:r>
        <w:t xml:space="preserve">ent and research funding will be inevitably linked, it is important to clarify at the outset what this will mean for each field of research. This could be done by presenting the layers of the system from the funding angle.   </w:t>
      </w:r>
    </w:p>
    <w:p w:rsidR="0020499E" w:rsidRDefault="0020499E"/>
    <w:p w:rsidR="0020499E" w:rsidRDefault="008E27E1">
      <w:r>
        <w:t>For example, the Georgian res</w:t>
      </w:r>
      <w:r>
        <w:t>earch funding system could be broken down into three layers (types of grant) as follows:</w:t>
      </w:r>
    </w:p>
    <w:p w:rsidR="0020499E" w:rsidRDefault="0020499E"/>
    <w:p w:rsidR="0020499E" w:rsidRDefault="008E27E1">
      <w:pPr>
        <w:pStyle w:val="ListParagraph"/>
        <w:numPr>
          <w:ilvl w:val="0"/>
          <w:numId w:val="6"/>
        </w:numPr>
      </w:pPr>
      <w:r>
        <w:rPr>
          <w:rFonts w:ascii="Verdana" w:hAnsi="Verdana"/>
          <w:sz w:val="20"/>
          <w:szCs w:val="20"/>
        </w:rPr>
        <w:t xml:space="preserve">Block grant: a fixed funding, input-based in a first phase, then objective-based. As long as there will be a lack of data on research output in some fields of research, the funding of Georgian research institutions will continue to require at least a dose </w:t>
      </w:r>
      <w:r>
        <w:rPr>
          <w:rFonts w:ascii="Verdana" w:hAnsi="Verdana"/>
          <w:sz w:val="20"/>
          <w:szCs w:val="20"/>
        </w:rPr>
        <w:t xml:space="preserve">of input-based </w:t>
      </w:r>
      <w:r>
        <w:rPr>
          <w:rFonts w:ascii="Verdana" w:hAnsi="Verdana"/>
          <w:sz w:val="20"/>
          <w:szCs w:val="20"/>
        </w:rPr>
        <w:lastRenderedPageBreak/>
        <w:t>funding to cover their basic needs. Once research activities and outputs will be better documented, the input-based logic could be replaced (in part or in totality) by a contractual logic (i.e. peer-reviewed, objective-based). From this poin</w:t>
      </w:r>
      <w:r>
        <w:rPr>
          <w:rFonts w:ascii="Verdana" w:hAnsi="Verdana"/>
          <w:sz w:val="20"/>
          <w:szCs w:val="20"/>
        </w:rPr>
        <w:t>t on, research institutions will be expected to define, in agreement with third party experts, their research program and objectives for the next three to five years. This will condition the evolution of their fixed funding: at the end of every cycle, thei</w:t>
      </w:r>
      <w:r>
        <w:rPr>
          <w:rFonts w:ascii="Verdana" w:hAnsi="Verdana"/>
          <w:sz w:val="20"/>
          <w:szCs w:val="20"/>
        </w:rPr>
        <w:t>r research output will be assessed and another program will be agreed upon for the next cycle.</w:t>
      </w:r>
    </w:p>
    <w:p w:rsidR="0020499E" w:rsidRDefault="008E27E1">
      <w:pPr>
        <w:pStyle w:val="ListParagraph"/>
        <w:numPr>
          <w:ilvl w:val="0"/>
          <w:numId w:val="6"/>
        </w:numPr>
      </w:pPr>
      <w:r>
        <w:rPr>
          <w:rFonts w:ascii="Verdana" w:hAnsi="Verdana"/>
          <w:sz w:val="20"/>
          <w:szCs w:val="20"/>
        </w:rPr>
        <w:t xml:space="preserve">Research priority grant: a variable funding aiming at prioritizing research fields and within such fields, at channeling research towards priority subject areas </w:t>
      </w:r>
      <w:r>
        <w:rPr>
          <w:rFonts w:ascii="Verdana" w:hAnsi="Verdana"/>
          <w:sz w:val="20"/>
          <w:szCs w:val="20"/>
        </w:rPr>
        <w:t>and research output. Such grant should reflect the priorities defined in common by the Ministry of Education and Science and the Ministry of Economy and Sustainable Development. It should include a dose of competitive funding (performance-based) as well as</w:t>
      </w:r>
      <w:r>
        <w:rPr>
          <w:rFonts w:ascii="Verdana" w:hAnsi="Verdana"/>
          <w:sz w:val="20"/>
          <w:szCs w:val="20"/>
        </w:rPr>
        <w:t xml:space="preserve"> a dose of contractual funding (objective-based).</w:t>
      </w:r>
    </w:p>
    <w:p w:rsidR="0020499E" w:rsidRDefault="008E27E1">
      <w:pPr>
        <w:pStyle w:val="ListParagraph"/>
        <w:numPr>
          <w:ilvl w:val="0"/>
          <w:numId w:val="6"/>
        </w:numPr>
      </w:pPr>
      <w:r>
        <w:rPr>
          <w:rFonts w:ascii="Verdana" w:hAnsi="Verdana"/>
          <w:sz w:val="20"/>
          <w:szCs w:val="20"/>
        </w:rPr>
        <w:t xml:space="preserve">Excellence grant: a variable funding aiming at rewarding research performance in general or within selected fields of research. </w:t>
      </w:r>
    </w:p>
    <w:p w:rsidR="0020499E" w:rsidRDefault="0020499E"/>
    <w:p w:rsidR="0020499E" w:rsidRDefault="008E27E1">
      <w:r>
        <w:t>Depending on the field and on research priorities, the relative importance o</w:t>
      </w:r>
      <w:r>
        <w:t xml:space="preserve">f these grants could evolve over time, as the knowledge about research output and its analysis progress. </w:t>
      </w:r>
    </w:p>
    <w:p w:rsidR="0020499E" w:rsidRDefault="0020499E"/>
    <w:p w:rsidR="0020499E" w:rsidRDefault="008E27E1">
      <w:pPr>
        <w:rPr>
          <w:b/>
        </w:rPr>
      </w:pPr>
      <w:r>
        <w:rPr>
          <w:b/>
        </w:rPr>
        <w:t>In the short-term:</w:t>
      </w:r>
    </w:p>
    <w:p w:rsidR="0020499E" w:rsidRDefault="0020499E">
      <w:pPr>
        <w:rPr>
          <w:b/>
        </w:rPr>
      </w:pPr>
    </w:p>
    <w:p w:rsidR="0020499E" w:rsidRDefault="0020499E">
      <w:r>
        <w:rPr>
          <w:noProof/>
        </w:rPr>
        <w:pict>
          <v:shape id="Rogner un rectangle avec un coin diagonal 266" o:spid="_x0000_s1028" style="position:absolute;left:0;text-align:left;margin-left:117.55pt;margin-top:8.6pt;width:310.25pt;height:25.75pt;z-index:251701248;visibility:visible;mso-width-relative:margin;mso-height-relative:margin;v-text-anchor:middle" coordsize="3940450,32689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" adj="-11796480,,5400" path="m,l3885966,r54484,54484l3940450,326899r,l54484,326899,,272415,,xe" fillcolor="#5b9bd5 [3204]" strokecolor="#1f4d78 [1604]" strokeweight="1pt">
            <v:stroke joinstyle="miter"/>
            <v:formulas/>
            <v:path arrowok="t" o:connecttype="custom" o:connectlocs="0,0;3885966,0;3940450,54484;3940450,326899;3940450,326899;54484,326899;0,272415;0,0" o:connectangles="0,0,0,0,0,0,0,0" textboxrect="0,0,3940450,326899"/>
            <v:textbox>
              <w:txbxContent>
                <w:p w:rsidR="00536704" w:rsidRPr="00653DE6" w:rsidRDefault="008E27E1">
                  <w:pPr>
                    <w:jc w:val="center"/>
                    <w:rPr>
                      <w:b/>
                      <w:lang w:val="fr-FR"/>
                    </w:rPr>
                  </w:pPr>
                  <w:r>
                    <w:rPr>
                      <w:b/>
                      <w:lang w:val="fr-FR"/>
                    </w:rPr>
                    <w:t>f</w:t>
                  </w:r>
                  <w:r w:rsidRPr="00653DE6">
                    <w:rPr>
                      <w:b/>
                      <w:lang w:val="fr-FR"/>
                    </w:rPr>
                    <w:t>ixed</w:t>
                  </w:r>
                  <w:r>
                    <w:rPr>
                      <w:b/>
                      <w:lang w:val="fr-FR"/>
                    </w:rPr>
                    <w:t xml:space="preserve"> -</w:t>
                  </w:r>
                  <w:r w:rsidRPr="00653DE6">
                    <w:rPr>
                      <w:b/>
                      <w:lang w:val="fr-FR"/>
                    </w:rPr>
                    <w:t xml:space="preserve"> input-based</w:t>
                  </w:r>
                </w:p>
              </w:txbxContent>
            </v:textbox>
          </v:shape>
        </w:pict>
      </w:r>
    </w:p>
    <w:p w:rsidR="0020499E" w:rsidRDefault="008E27E1">
      <w:pPr>
        <w:pStyle w:val="ListParagraph"/>
        <w:numPr>
          <w:ilvl w:val="0"/>
          <w:numId w:val="6"/>
        </w:numPr>
        <w:ind w:left="426" w:hanging="218"/>
        <w:rPr>
          <w:rFonts w:ascii="Verdana" w:hAnsi="Verdana"/>
          <w:sz w:val="20"/>
          <w:szCs w:val="20"/>
        </w:rPr>
      </w:pPr>
      <w:r>
        <w:rPr>
          <w:rFonts w:ascii="Verdana" w:hAnsi="Verdana"/>
          <w:sz w:val="20"/>
          <w:szCs w:val="20"/>
        </w:rPr>
        <w:t>Block Grant:</w:t>
      </w:r>
    </w:p>
    <w:p w:rsidR="0020499E" w:rsidRDefault="0020499E">
      <w:pPr>
        <w:ind w:left="426" w:hanging="218"/>
      </w:pPr>
    </w:p>
    <w:p w:rsidR="0020499E" w:rsidRDefault="0020499E">
      <w:pPr>
        <w:ind w:left="426" w:hanging="218"/>
      </w:pPr>
      <w:r>
        <w:rPr>
          <w:noProof/>
        </w:rPr>
        <w:pict>
          <v:shape id="Rogner un rectangle avec un coin diagonal 6" o:spid="_x0000_s1029" style="position:absolute;left:0;text-align:left;margin-left:264.95pt;margin-top:6.4pt;width:162.85pt;height:23.75pt;z-index:251717632;visibility:visible;mso-width-relative:margin;mso-height-relative:margin;v-text-anchor:middle" coordsize="2068195,3016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" adj="-11796480,,5400" path="m,l2017923,r50272,50272l2068195,301625r,l50272,301625,,251353,,xe" fillcolor="#538135 [2409]" strokecolor="#1f4d78 [1604]" strokeweight="1pt">
            <v:stroke joinstyle="miter"/>
            <v:formulas/>
            <v:path arrowok="t" o:connecttype="custom" o:connectlocs="0,0;2017923,0;2068195,50272;2068195,301625;2068195,301625;50272,301625;0,251353;0,0" o:connectangles="0,0,0,0,0,0,0,0" textboxrect="0,0,2068195,301625"/>
            <v:textbox>
              <w:txbxContent>
                <w:p w:rsidR="00536704" w:rsidRPr="00653DE6" w:rsidRDefault="008E27E1" w:rsidP="00B03024">
                  <w:pPr>
                    <w:ind w:right="-81"/>
                    <w:jc w:val="center"/>
                    <w:rPr>
                      <w:b/>
                      <w:lang w:val="fr-FR"/>
                    </w:rPr>
                  </w:pPr>
                  <w:r w:rsidRPr="00653DE6">
                    <w:rPr>
                      <w:b/>
                      <w:lang w:val="fr-FR"/>
                    </w:rPr>
                    <w:t>contractual</w:t>
                  </w:r>
                </w:p>
              </w:txbxContent>
            </v:textbox>
          </v:shape>
        </w:pict>
      </w:r>
      <w:r>
        <w:rPr>
          <w:noProof/>
        </w:rPr>
        <w:pict>
          <v:shape id="Rogner un rectangle avec un coin diagonal 268" o:spid="_x0000_s1030" style="position:absolute;left:0;text-align:left;margin-left:118.55pt;margin-top:6.4pt;width:166.4pt;height:23.75pt;z-index:251702272;visibility:visible;mso-width-relative:margin;v-text-anchor:middle" coordsize="2113280,3016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" adj="-11796480,,5400" path="m,l2063008,r50272,50272l2113280,301625r,l50272,301625,,251353,,xe" fillcolor="red" strokecolor="#1f4d78 [1604]" strokeweight="1pt">
            <v:stroke joinstyle="miter"/>
            <v:formulas/>
            <v:path arrowok="t" o:connecttype="custom" o:connectlocs="0,0;2063008,0;2113280,50272;2113280,301625;2113280,301625;50272,301625;0,251353;0,0" o:connectangles="0,0,0,0,0,0,0,0" textboxrect="0,0,2113280,301625"/>
            <v:textbox>
              <w:txbxContent>
                <w:p w:rsidR="00536704" w:rsidRPr="00653DE6" w:rsidRDefault="008E27E1" w:rsidP="001E0EE2">
                  <w:pPr>
                    <w:ind w:left="-142"/>
                    <w:jc w:val="center"/>
                    <w:rPr>
                      <w:b/>
                      <w:lang w:val="fr-FR"/>
                    </w:rPr>
                  </w:pPr>
                  <w:r w:rsidRPr="00653DE6">
                    <w:rPr>
                      <w:b/>
                      <w:lang w:val="fr-FR"/>
                    </w:rPr>
                    <w:t>competitive</w:t>
                  </w:r>
                </w:p>
              </w:txbxContent>
            </v:textbox>
          </v:shape>
        </w:pict>
      </w:r>
    </w:p>
    <w:p w:rsidR="0020499E" w:rsidRDefault="008E27E1">
      <w:pPr>
        <w:pStyle w:val="ListParagraph"/>
        <w:numPr>
          <w:ilvl w:val="0"/>
          <w:numId w:val="6"/>
        </w:numPr>
        <w:ind w:left="426" w:hanging="218"/>
        <w:rPr>
          <w:rFonts w:ascii="Verdana" w:hAnsi="Verdana"/>
          <w:sz w:val="20"/>
          <w:szCs w:val="20"/>
        </w:rPr>
      </w:pPr>
      <w:r>
        <w:rPr>
          <w:rFonts w:ascii="Verdana" w:hAnsi="Verdana"/>
          <w:sz w:val="20"/>
          <w:szCs w:val="20"/>
        </w:rPr>
        <w:t>Priority Grant:</w:t>
      </w:r>
    </w:p>
    <w:p w:rsidR="0020499E" w:rsidRDefault="0020499E">
      <w:pPr>
        <w:pStyle w:val="ListParagraph"/>
        <w:ind w:left="426" w:hanging="218"/>
        <w:rPr>
          <w:rFonts w:ascii="Verdana" w:hAnsi="Verdana"/>
          <w:sz w:val="20"/>
          <w:szCs w:val="20"/>
        </w:rPr>
      </w:pPr>
    </w:p>
    <w:p w:rsidR="0020499E" w:rsidRDefault="0020499E">
      <w:pPr>
        <w:pStyle w:val="ListParagraph"/>
        <w:ind w:left="426" w:hanging="218"/>
        <w:rPr>
          <w:rFonts w:ascii="Verdana" w:hAnsi="Verdana"/>
          <w:sz w:val="20"/>
          <w:szCs w:val="20"/>
        </w:rPr>
      </w:pPr>
      <w:r w:rsidRPr="0020499E">
        <w:rPr>
          <w:noProof/>
          <w:lang w:bidi="ar-SA"/>
        </w:rPr>
        <w:pict>
          <v:shape id="Rogner un rectangle avec un coin diagonal 269" o:spid="_x0000_s1031" style="position:absolute;left:0;text-align:left;margin-left:116.9pt;margin-top:3.6pt;width:310.95pt;height:23.75pt;z-index:251704320;visibility:visible;mso-width-relative:margin;v-text-anchor:middle" coordsize="3949077,3016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" adj="-11796480,,5400" path="m,l3898805,r50272,50272l3949077,301625r,l50272,301625,,251353,,xe" fillcolor="red" strokecolor="#1f4d78 [1604]" strokeweight="1pt">
            <v:stroke joinstyle="miter"/>
            <v:formulas/>
            <v:path arrowok="t" o:connecttype="custom" o:connectlocs="0,0;3898805,0;3949077,50272;3949077,301625;3949077,301625;50272,301625;0,251353;0,0" o:connectangles="0,0,0,0,0,0,0,0" textboxrect="0,0,3949077,301625"/>
            <v:textbox>
              <w:txbxContent>
                <w:p w:rsidR="00536704" w:rsidRPr="00653DE6" w:rsidRDefault="008E27E1">
                  <w:pPr>
                    <w:jc w:val="center"/>
                    <w:rPr>
                      <w:b/>
                      <w:lang w:val="fr-FR"/>
                    </w:rPr>
                  </w:pPr>
                  <w:r w:rsidRPr="00653DE6">
                    <w:rPr>
                      <w:b/>
                      <w:lang w:val="fr-FR"/>
                    </w:rPr>
                    <w:t>competitive</w:t>
                  </w:r>
                </w:p>
              </w:txbxContent>
            </v:textbox>
          </v:shape>
        </w:pict>
      </w:r>
    </w:p>
    <w:p w:rsidR="0020499E" w:rsidRDefault="008E27E1">
      <w:pPr>
        <w:pStyle w:val="ListParagraph"/>
        <w:numPr>
          <w:ilvl w:val="0"/>
          <w:numId w:val="6"/>
        </w:numPr>
        <w:ind w:left="426" w:hanging="218"/>
        <w:rPr>
          <w:rFonts w:ascii="Verdana" w:hAnsi="Verdana"/>
          <w:sz w:val="20"/>
          <w:szCs w:val="20"/>
        </w:rPr>
      </w:pPr>
      <w:r>
        <w:rPr>
          <w:rFonts w:ascii="Verdana" w:hAnsi="Verdana"/>
          <w:sz w:val="20"/>
          <w:szCs w:val="20"/>
        </w:rPr>
        <w:t xml:space="preserve">Excellence Grant: </w:t>
      </w:r>
    </w:p>
    <w:p w:rsidR="0020499E" w:rsidRDefault="0020499E">
      <w:pPr>
        <w:ind w:left="426"/>
      </w:pPr>
    </w:p>
    <w:p w:rsidR="0020499E" w:rsidRDefault="0020499E"/>
    <w:p w:rsidR="0020499E" w:rsidRDefault="008E27E1">
      <w:pPr>
        <w:rPr>
          <w:b/>
        </w:rPr>
      </w:pPr>
      <w:r>
        <w:rPr>
          <w:b/>
        </w:rPr>
        <w:t>In the</w:t>
      </w:r>
      <w:r>
        <w:rPr>
          <w:b/>
        </w:rPr>
        <w:t xml:space="preserve"> medium-term (in three to five years):</w:t>
      </w:r>
    </w:p>
    <w:p w:rsidR="0020499E" w:rsidRDefault="0020499E">
      <w:pPr>
        <w:rPr>
          <w:b/>
        </w:rPr>
      </w:pPr>
    </w:p>
    <w:p w:rsidR="0020499E" w:rsidRDefault="0020499E">
      <w:r>
        <w:rPr>
          <w:noProof/>
        </w:rPr>
        <w:pict>
          <v:shape id="Rogner un rectangle avec un coin diagonal 53" o:spid="_x0000_s1032" style="position:absolute;left:0;text-align:left;margin-left:118.25pt;margin-top:5.05pt;width:309.55pt;height:25.7pt;z-index:251713536;visibility:visible;mso-width-relative:margin;mso-height-relative:margin;v-text-anchor:middle" coordsize="3931501,3263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" adj="-11796480,,5400" path="m,l3877102,r54399,54399l3931501,326390r,l54399,326390,,271991,,xe" fillcolor="#538135 [2409]" strokecolor="#1f4d78 [1604]" strokeweight="1pt">
            <v:stroke joinstyle="miter"/>
            <v:formulas/>
            <v:path arrowok="t" o:connecttype="custom" o:connectlocs="0,0;3877102,0;3931501,54399;3931501,326390;3931501,326390;54399,326390;0,271991;0,0" o:connectangles="0,0,0,0,0,0,0,0" textboxrect="0,0,3931501,326390"/>
            <v:textbox>
              <w:txbxContent>
                <w:p w:rsidR="00536704" w:rsidRPr="00653DE6" w:rsidRDefault="008E27E1">
                  <w:pPr>
                    <w:ind w:right="-81"/>
                    <w:jc w:val="center"/>
                    <w:rPr>
                      <w:b/>
                      <w:lang w:val="fr-FR"/>
                    </w:rPr>
                  </w:pPr>
                  <w:r w:rsidRPr="00653DE6">
                    <w:rPr>
                      <w:b/>
                      <w:lang w:val="fr-FR"/>
                    </w:rPr>
                    <w:t>contractual</w:t>
                  </w:r>
                </w:p>
              </w:txbxContent>
            </v:textbox>
          </v:shape>
        </w:pict>
      </w:r>
    </w:p>
    <w:p w:rsidR="0020499E" w:rsidRDefault="008E27E1">
      <w:pPr>
        <w:pStyle w:val="ListParagraph"/>
        <w:numPr>
          <w:ilvl w:val="0"/>
          <w:numId w:val="6"/>
        </w:numPr>
        <w:ind w:left="426" w:hanging="218"/>
        <w:rPr>
          <w:rFonts w:ascii="Verdana" w:hAnsi="Verdana"/>
          <w:sz w:val="20"/>
          <w:szCs w:val="20"/>
        </w:rPr>
      </w:pPr>
      <w:r>
        <w:rPr>
          <w:rFonts w:ascii="Verdana" w:hAnsi="Verdana"/>
          <w:sz w:val="20"/>
          <w:szCs w:val="20"/>
        </w:rPr>
        <w:t>Block Grant:</w:t>
      </w:r>
    </w:p>
    <w:p w:rsidR="0020499E" w:rsidRDefault="0020499E">
      <w:pPr>
        <w:ind w:left="426" w:hanging="218"/>
      </w:pPr>
    </w:p>
    <w:p w:rsidR="0020499E" w:rsidRDefault="0020499E">
      <w:pPr>
        <w:ind w:left="426" w:hanging="218"/>
      </w:pPr>
      <w:r>
        <w:rPr>
          <w:noProof/>
        </w:rPr>
        <w:pict>
          <v:shape id="Rogner un rectangle avec un coin diagonal 4" o:spid="_x0000_s1033" style="position:absolute;left:0;text-align:left;margin-left:266.95pt;margin-top:5.55pt;width:162.95pt;height:25pt;z-index:251715584;visibility:visible;mso-width-relative:margin;mso-height-relative:margin;v-text-anchor:middle" coordsize="2069309,317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" adj="-11796480,,5400" path="m,l2016391,r52918,52918l2069309,317500r,l52918,317500,,264582,,xe" fillcolor="#538135 [2409]" strokecolor="#1f4d78 [1604]" strokeweight="1pt">
            <v:stroke joinstyle="miter"/>
            <v:formulas/>
            <v:path arrowok="t" o:connecttype="custom" o:connectlocs="0,0;2016391,0;2069309,52918;2069309,317500;2069309,317500;52918,317500;0,264582;0,0" o:connectangles="0,0,0,0,0,0,0,0" textboxrect="0,0,2069309,317500"/>
            <v:textbox>
              <w:txbxContent>
                <w:p w:rsidR="00536704" w:rsidRPr="00653DE6" w:rsidRDefault="008E27E1" w:rsidP="004D7A24">
                  <w:pPr>
                    <w:ind w:right="-81"/>
                    <w:jc w:val="center"/>
                    <w:rPr>
                      <w:b/>
                      <w:lang w:val="fr-FR"/>
                    </w:rPr>
                  </w:pPr>
                  <w:r w:rsidRPr="00653DE6">
                    <w:rPr>
                      <w:b/>
                      <w:lang w:val="fr-FR"/>
                    </w:rPr>
                    <w:t>contractual</w:t>
                  </w:r>
                </w:p>
              </w:txbxContent>
            </v:textbox>
          </v:shape>
        </w:pict>
      </w:r>
      <w:r>
        <w:rPr>
          <w:noProof/>
        </w:rPr>
        <w:pict>
          <v:shape id="Rogner un rectangle avec un coin diagonal 273" o:spid="_x0000_s1034" style="position:absolute;left:0;text-align:left;margin-left:118.25pt;margin-top:5.45pt;width:226.85pt;height:25pt;z-index:251708416;visibility:visible;mso-width-relative:margin;mso-height-relative:margin;v-text-anchor:middle" coordsize="2880995,31776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" adj="-11796480,,5400" path="m,l2828033,r52962,52962l2880995,317764r,l52962,317764,,264802,,xe" fillcolor="red" strokecolor="#1f4d78 [1604]" strokeweight="1pt">
            <v:stroke joinstyle="miter"/>
            <v:formulas/>
            <v:path arrowok="t" o:connecttype="custom" o:connectlocs="0,0;2828033,0;2880995,52962;2880995,317764;2880995,317764;52962,317764;0,264802;0,0" o:connectangles="0,0,0,0,0,0,0,0" textboxrect="0,0,2880995,317764"/>
            <v:textbox>
              <w:txbxContent>
                <w:p w:rsidR="00536704" w:rsidRPr="00653DE6" w:rsidRDefault="008E27E1" w:rsidP="004D7A24">
                  <w:pPr>
                    <w:ind w:left="-142" w:firstLine="862"/>
                    <w:rPr>
                      <w:b/>
                      <w:lang w:val="fr-FR"/>
                    </w:rPr>
                  </w:pPr>
                  <w:r w:rsidRPr="00653DE6">
                    <w:rPr>
                      <w:b/>
                      <w:lang w:val="fr-FR"/>
                    </w:rPr>
                    <w:t>competitive</w:t>
                  </w:r>
                </w:p>
              </w:txbxContent>
            </v:textbox>
          </v:shape>
        </w:pict>
      </w:r>
    </w:p>
    <w:p w:rsidR="0020499E" w:rsidRDefault="008E27E1">
      <w:pPr>
        <w:pStyle w:val="ListParagraph"/>
        <w:numPr>
          <w:ilvl w:val="0"/>
          <w:numId w:val="6"/>
        </w:numPr>
        <w:ind w:left="426" w:hanging="218"/>
        <w:rPr>
          <w:rFonts w:ascii="Verdana" w:hAnsi="Verdana"/>
          <w:sz w:val="20"/>
          <w:szCs w:val="20"/>
        </w:rPr>
      </w:pPr>
      <w:r>
        <w:rPr>
          <w:rFonts w:ascii="Verdana" w:hAnsi="Verdana"/>
          <w:sz w:val="20"/>
          <w:szCs w:val="20"/>
        </w:rPr>
        <w:t>Priority Grant:</w:t>
      </w:r>
    </w:p>
    <w:p w:rsidR="0020499E" w:rsidRDefault="0020499E">
      <w:pPr>
        <w:pStyle w:val="ListParagraph"/>
        <w:ind w:left="426" w:hanging="218"/>
        <w:rPr>
          <w:rFonts w:ascii="Verdana" w:hAnsi="Verdana"/>
          <w:sz w:val="20"/>
          <w:szCs w:val="20"/>
        </w:rPr>
      </w:pPr>
    </w:p>
    <w:p w:rsidR="0020499E" w:rsidRDefault="0020499E">
      <w:pPr>
        <w:pStyle w:val="ListParagraph"/>
        <w:ind w:left="426" w:hanging="218"/>
        <w:rPr>
          <w:rFonts w:ascii="Verdana" w:hAnsi="Verdana"/>
          <w:sz w:val="20"/>
          <w:szCs w:val="20"/>
        </w:rPr>
      </w:pPr>
      <w:r w:rsidRPr="0020499E">
        <w:rPr>
          <w:noProof/>
          <w:lang w:bidi="ar-SA"/>
        </w:rPr>
        <w:pict>
          <v:shape id="Rogner un rectangle avec un coin diagonal 274" o:spid="_x0000_s1035" style="position:absolute;left:0;text-align:left;margin-left:118.25pt;margin-top:3.8pt;width:311.7pt;height:23.75pt;z-index:251709440;visibility:visible;mso-width-relative:margin;v-text-anchor:middle" coordsize="3958482,3016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" adj="-11796480,,5400" path="m,l3908210,r50272,50272l3958482,301625r,l50272,301625,,251353,,xe" fillcolor="red" strokecolor="#1f4d78 [1604]" strokeweight="1pt">
            <v:stroke joinstyle="miter"/>
            <v:formulas/>
            <v:path arrowok="t" o:connecttype="custom" o:connectlocs="0,0;3908210,0;3958482,50272;3958482,301625;3958482,301625;50272,301625;0,251353;0,0" o:connectangles="0,0,0,0,0,0,0,0" textboxrect="0,0,3958482,301625"/>
            <v:textbox>
              <w:txbxContent>
                <w:p w:rsidR="00536704" w:rsidRPr="00653DE6" w:rsidRDefault="008E27E1">
                  <w:pPr>
                    <w:jc w:val="center"/>
                    <w:rPr>
                      <w:b/>
                      <w:lang w:val="fr-FR"/>
                    </w:rPr>
                  </w:pPr>
                  <w:r w:rsidRPr="00653DE6">
                    <w:rPr>
                      <w:b/>
                      <w:lang w:val="fr-FR"/>
                    </w:rPr>
                    <w:t>competitive</w:t>
                  </w:r>
                </w:p>
              </w:txbxContent>
            </v:textbox>
          </v:shape>
        </w:pict>
      </w:r>
    </w:p>
    <w:p w:rsidR="0020499E" w:rsidRDefault="008E27E1">
      <w:pPr>
        <w:pStyle w:val="ListParagraph"/>
        <w:numPr>
          <w:ilvl w:val="0"/>
          <w:numId w:val="6"/>
        </w:numPr>
        <w:ind w:left="426" w:hanging="218"/>
        <w:rPr>
          <w:rFonts w:ascii="Verdana" w:hAnsi="Verdana"/>
          <w:sz w:val="20"/>
          <w:szCs w:val="20"/>
        </w:rPr>
      </w:pPr>
      <w:r>
        <w:rPr>
          <w:rFonts w:ascii="Verdana" w:hAnsi="Verdana"/>
          <w:sz w:val="20"/>
          <w:szCs w:val="20"/>
        </w:rPr>
        <w:t xml:space="preserve">Excellence Grant: </w:t>
      </w:r>
    </w:p>
    <w:p w:rsidR="0020499E" w:rsidRDefault="0020499E"/>
    <w:p w:rsidR="0020499E" w:rsidRDefault="008E27E1">
      <w:pPr>
        <w:jc w:val="center"/>
        <w:rPr>
          <w:b/>
          <w:i/>
          <w:sz w:val="18"/>
        </w:rPr>
      </w:pPr>
      <w:r>
        <w:rPr>
          <w:b/>
          <w:i/>
          <w:sz w:val="18"/>
        </w:rPr>
        <w:t>NB: the relative weight of each grant is not addressed here.</w:t>
      </w:r>
    </w:p>
    <w:p w:rsidR="0020499E" w:rsidRDefault="0020499E"/>
    <w:p w:rsidR="0020499E" w:rsidRDefault="008E27E1">
      <w:r>
        <w:t>The least documented fields in social sciences and humanities should evolve gradually, whereas in natural science fields for which bibliometric databases already provide sufficient information, the medium-term target mechanism could be applied immediately.</w:t>
      </w:r>
    </w:p>
    <w:p w:rsidR="0020499E" w:rsidRDefault="0020499E">
      <w:pPr>
        <w:rPr>
          <w:rFonts w:cs="Times New Roman"/>
        </w:rPr>
      </w:pPr>
    </w:p>
    <w:p w:rsidR="0020499E" w:rsidRDefault="008E27E1">
      <w:pPr>
        <w:pStyle w:val="Heading3"/>
      </w:pPr>
      <w:bookmarkStart w:id="46" w:name="_Toc389396933"/>
      <w:r>
        <w:t>4.3.3 Who should evaluate Georgian research?</w:t>
      </w:r>
      <w:bookmarkEnd w:id="46"/>
    </w:p>
    <w:p w:rsidR="0020499E" w:rsidRDefault="0020499E"/>
    <w:p w:rsidR="0020499E" w:rsidRDefault="008E27E1">
      <w:pPr>
        <w:rPr>
          <w:lang w:val="en-GB"/>
        </w:rPr>
      </w:pPr>
      <w:r>
        <w:rPr>
          <w:lang w:val="en-GB"/>
        </w:rPr>
        <w:t>According to Georgian law, the assessment of research activities is presently a prerogative of the Academy of Science which “discusses and evaluates annual reports reflecting the research activities and final</w:t>
      </w:r>
      <w:r>
        <w:rPr>
          <w:lang w:val="en-GB"/>
        </w:rPr>
        <w:t xml:space="preserve">ized research of Georgian HEIs and research institutes (Law on the Academy of Science, Article 4). </w:t>
      </w:r>
    </w:p>
    <w:p w:rsidR="0020499E" w:rsidRDefault="0020499E">
      <w:pPr>
        <w:rPr>
          <w:lang w:val="en-GB"/>
        </w:rPr>
      </w:pPr>
    </w:p>
    <w:p w:rsidR="0020499E" w:rsidRDefault="008E27E1">
      <w:r>
        <w:rPr>
          <w:lang w:val="en-GB"/>
        </w:rPr>
        <w:lastRenderedPageBreak/>
        <w:t>Apparently, the assessment activity of the Academy of Science has been limited so far: it does not seem that it has defined clear evaluation criteria or co</w:t>
      </w:r>
      <w:r>
        <w:rPr>
          <w:lang w:val="en-GB"/>
        </w:rPr>
        <w:t xml:space="preserve">mprehensive peer-review assessment procedures. It has recommended </w:t>
      </w:r>
      <w:r>
        <w:t xml:space="preserve">five priority areas, however: </w:t>
      </w:r>
    </w:p>
    <w:p w:rsidR="0020499E" w:rsidRDefault="0020499E"/>
    <w:p w:rsidR="0020499E" w:rsidRDefault="008E27E1">
      <w:pPr>
        <w:pStyle w:val="ListParagraph"/>
        <w:widowControl/>
        <w:numPr>
          <w:ilvl w:val="0"/>
          <w:numId w:val="32"/>
        </w:numPr>
        <w:autoSpaceDE/>
        <w:autoSpaceDN/>
        <w:adjustRightInd/>
        <w:jc w:val="left"/>
        <w:rPr>
          <w:rFonts w:ascii="Verdana" w:hAnsi="Verdana"/>
          <w:sz w:val="20"/>
          <w:szCs w:val="20"/>
        </w:rPr>
      </w:pPr>
      <w:r>
        <w:rPr>
          <w:rFonts w:ascii="Verdana" w:hAnsi="Verdana"/>
          <w:sz w:val="20"/>
          <w:szCs w:val="20"/>
        </w:rPr>
        <w:t>Agriculture;</w:t>
      </w:r>
    </w:p>
    <w:p w:rsidR="0020499E" w:rsidRDefault="008E27E1">
      <w:pPr>
        <w:pStyle w:val="ListParagraph"/>
        <w:widowControl/>
        <w:numPr>
          <w:ilvl w:val="0"/>
          <w:numId w:val="32"/>
        </w:numPr>
        <w:autoSpaceDE/>
        <w:autoSpaceDN/>
        <w:adjustRightInd/>
        <w:jc w:val="left"/>
        <w:rPr>
          <w:rFonts w:ascii="Verdana" w:hAnsi="Verdana"/>
          <w:sz w:val="20"/>
          <w:szCs w:val="20"/>
        </w:rPr>
      </w:pPr>
      <w:r>
        <w:rPr>
          <w:rFonts w:ascii="Verdana" w:hAnsi="Verdana"/>
          <w:sz w:val="20"/>
          <w:szCs w:val="20"/>
        </w:rPr>
        <w:t>Biotechnologies;</w:t>
      </w:r>
    </w:p>
    <w:p w:rsidR="0020499E" w:rsidRDefault="008E27E1">
      <w:pPr>
        <w:pStyle w:val="ListParagraph"/>
        <w:widowControl/>
        <w:numPr>
          <w:ilvl w:val="0"/>
          <w:numId w:val="32"/>
        </w:numPr>
        <w:autoSpaceDE/>
        <w:autoSpaceDN/>
        <w:adjustRightInd/>
        <w:jc w:val="left"/>
        <w:rPr>
          <w:rFonts w:ascii="Verdana" w:hAnsi="Verdana"/>
          <w:sz w:val="20"/>
          <w:szCs w:val="20"/>
        </w:rPr>
      </w:pPr>
      <w:r>
        <w:rPr>
          <w:rFonts w:ascii="Verdana" w:hAnsi="Verdana"/>
          <w:sz w:val="20"/>
          <w:szCs w:val="20"/>
        </w:rPr>
        <w:t>Information Technologies;</w:t>
      </w:r>
    </w:p>
    <w:p w:rsidR="0020499E" w:rsidRDefault="008E27E1">
      <w:pPr>
        <w:pStyle w:val="ListParagraph"/>
        <w:widowControl/>
        <w:numPr>
          <w:ilvl w:val="0"/>
          <w:numId w:val="32"/>
        </w:numPr>
        <w:autoSpaceDE/>
        <w:autoSpaceDN/>
        <w:adjustRightInd/>
        <w:jc w:val="left"/>
        <w:rPr>
          <w:rFonts w:ascii="Verdana" w:hAnsi="Verdana"/>
          <w:sz w:val="20"/>
          <w:szCs w:val="20"/>
        </w:rPr>
      </w:pPr>
      <w:r>
        <w:rPr>
          <w:rFonts w:ascii="Verdana" w:hAnsi="Verdana"/>
          <w:sz w:val="20"/>
          <w:szCs w:val="20"/>
        </w:rPr>
        <w:t>Transformation of theoretical science into practice;</w:t>
      </w:r>
    </w:p>
    <w:p w:rsidR="0020499E" w:rsidRDefault="008E27E1">
      <w:pPr>
        <w:pStyle w:val="ListParagraph"/>
        <w:widowControl/>
        <w:numPr>
          <w:ilvl w:val="0"/>
          <w:numId w:val="32"/>
        </w:numPr>
        <w:autoSpaceDE/>
        <w:autoSpaceDN/>
        <w:adjustRightInd/>
        <w:jc w:val="left"/>
        <w:rPr>
          <w:rFonts w:ascii="Verdana" w:hAnsi="Verdana"/>
          <w:sz w:val="20"/>
          <w:szCs w:val="20"/>
        </w:rPr>
      </w:pPr>
      <w:r>
        <w:rPr>
          <w:rFonts w:ascii="Verdana" w:hAnsi="Verdana"/>
          <w:sz w:val="20"/>
          <w:szCs w:val="20"/>
        </w:rPr>
        <w:t>Georgian studies.</w:t>
      </w:r>
    </w:p>
    <w:p w:rsidR="0020499E" w:rsidRDefault="0020499E"/>
    <w:p w:rsidR="0020499E" w:rsidRDefault="008E27E1">
      <w:r>
        <w:t xml:space="preserve">The Academy of Science has an advisory role only, but this list highlights the difficulty of the task, which is not so much about the fields that are retained than about those that are excluded. </w:t>
      </w:r>
    </w:p>
    <w:p w:rsidR="0020499E" w:rsidRDefault="0020499E"/>
    <w:p w:rsidR="0020499E" w:rsidRDefault="008E27E1">
      <w:r>
        <w:t xml:space="preserve">For example the only non-natural science retained - </w:t>
      </w:r>
      <w:r>
        <w:rPr>
          <w:rFonts w:cs="Times New Roman"/>
        </w:rPr>
        <w:t>Georgia</w:t>
      </w:r>
      <w:r>
        <w:rPr>
          <w:rFonts w:cs="Times New Roman"/>
        </w:rPr>
        <w:t xml:space="preserve">n studies - is very </w:t>
      </w:r>
      <w:r>
        <w:t xml:space="preserve">consensual. The fact that this </w:t>
      </w:r>
      <w:r>
        <w:rPr>
          <w:rFonts w:cs="Times New Roman"/>
        </w:rPr>
        <w:t>cluster</w:t>
      </w:r>
      <w:r>
        <w:t xml:space="preserve"> must be preserved and thus, somewhat excluded from competition is perhaps the only subject about which all the stakeholders seem to be unanimous. </w:t>
      </w:r>
    </w:p>
    <w:p w:rsidR="0020499E" w:rsidRDefault="0020499E"/>
    <w:p w:rsidR="0020499E" w:rsidRDefault="008E27E1">
      <w:r>
        <w:t>Conversely, it is not clear why this list does no</w:t>
      </w:r>
      <w:r>
        <w:t xml:space="preserve">t include mathematics, which in terms of publications is Georgia’s main field of excellence. Also, it is implicitly suggesting that </w:t>
      </w:r>
      <w:r>
        <w:rPr>
          <w:rFonts w:cs="Times New Roman"/>
        </w:rPr>
        <w:t>social sciences as a whole should be sacrificed, unless the vagueness of the fourth item leave some room to applied social s</w:t>
      </w:r>
      <w:r>
        <w:rPr>
          <w:rFonts w:cs="Times New Roman"/>
        </w:rPr>
        <w:t xml:space="preserve">ciences. </w:t>
      </w:r>
    </w:p>
    <w:p w:rsidR="0020499E" w:rsidRDefault="0020499E"/>
    <w:p w:rsidR="0020499E" w:rsidRDefault="008E27E1">
      <w:pPr>
        <w:rPr>
          <w:lang w:val="en-GB"/>
        </w:rPr>
      </w:pPr>
      <w:r>
        <w:rPr>
          <w:lang w:val="en-GB"/>
        </w:rPr>
        <w:t>Next to the prerogatives of the Academy of Science, another evaluation of the academic community takes place within the framework of the quality assurance process. This framework is interesting, notably because it contains a dose of self-assessm</w:t>
      </w:r>
      <w:r>
        <w:rPr>
          <w:lang w:val="en-GB"/>
        </w:rPr>
        <w:t xml:space="preserve">ent, but although it should also encompass research activities, it is presently limited to teaching activities (Law on Higher Education, Article 25). </w:t>
      </w:r>
    </w:p>
    <w:p w:rsidR="0020499E" w:rsidRDefault="0020499E">
      <w:pPr>
        <w:rPr>
          <w:rFonts w:cs="Times New Roman"/>
        </w:rPr>
      </w:pPr>
    </w:p>
    <w:p w:rsidR="0020499E" w:rsidRDefault="008E27E1">
      <w:r>
        <w:rPr>
          <w:rFonts w:cs="Times New Roman"/>
        </w:rPr>
        <w:t>In sum, the assessment of Georgian research is left in the hands of very few stakeholders. On the one ha</w:t>
      </w:r>
      <w:r>
        <w:rPr>
          <w:rFonts w:cs="Times New Roman"/>
        </w:rPr>
        <w:t xml:space="preserve">nd, this is not exceptional: since their inception, the German EI, the British RAE and the Italian VTR also rely on a highly centralized evaluation system that contrasts with the otherwise highly decentralized organization of these countries. On the other </w:t>
      </w:r>
      <w:r>
        <w:rPr>
          <w:rFonts w:cs="Times New Roman"/>
        </w:rPr>
        <w:t xml:space="preserve">hand, </w:t>
      </w:r>
      <w:r>
        <w:t xml:space="preserve">the potential tension between research policy and innovation policy and the potentially drastic implications of research priorities call for more check and balance. </w:t>
      </w:r>
    </w:p>
    <w:p w:rsidR="0020499E" w:rsidRDefault="0020499E">
      <w:pPr>
        <w:rPr>
          <w:rFonts w:cs="Times New Roman"/>
        </w:rPr>
      </w:pPr>
    </w:p>
    <w:p w:rsidR="0020499E" w:rsidRDefault="008E27E1">
      <w:r>
        <w:rPr>
          <w:rFonts w:cs="Times New Roman"/>
        </w:rPr>
        <w:t>This question is also beyond the scope of this study, but it points at the necessit</w:t>
      </w:r>
      <w:r>
        <w:rPr>
          <w:rFonts w:cs="Times New Roman"/>
        </w:rPr>
        <w:t xml:space="preserve">y </w:t>
      </w:r>
      <w:r>
        <w:t xml:space="preserve">to clarify at the outset how the system will be governed and monitored, because this may require legislative adjustments. </w:t>
      </w:r>
    </w:p>
    <w:p w:rsidR="0020499E" w:rsidRDefault="0020499E"/>
    <w:p w:rsidR="0020499E" w:rsidRDefault="008E27E1">
      <w:pPr>
        <w:pStyle w:val="Heading3"/>
      </w:pPr>
      <w:bookmarkStart w:id="47" w:name="_Toc389396934"/>
      <w:r>
        <w:t>4.3.4 The importance of self-assessment</w:t>
      </w:r>
      <w:bookmarkEnd w:id="47"/>
    </w:p>
    <w:p w:rsidR="0020499E" w:rsidRDefault="0020499E"/>
    <w:p w:rsidR="0020499E" w:rsidRDefault="008E27E1">
      <w:pPr>
        <w:rPr>
          <w:rFonts w:cs="Times New Roman"/>
        </w:rPr>
      </w:pPr>
      <w:r>
        <w:t>To collect data with a limited cost and also, to anticipate and prepare the contractual m</w:t>
      </w:r>
      <w:r>
        <w:t xml:space="preserve">echanism that will be eventually introduced in the funding system, it seems important that a significant portion of the process be organized in the form of a self-assessment. </w:t>
      </w:r>
    </w:p>
    <w:p w:rsidR="0020499E" w:rsidRDefault="0020499E"/>
    <w:p w:rsidR="0020499E" w:rsidRDefault="008E27E1">
      <w:r>
        <w:t>A research project does not boil down to inputs and outputs. Thus, requiring re</w:t>
      </w:r>
      <w:r>
        <w:t xml:space="preserve">searchers to better describe their work and their objectives has virtues for the evaluators as well as for the researchers themselves. </w:t>
      </w:r>
    </w:p>
    <w:p w:rsidR="0020499E" w:rsidRDefault="0020499E"/>
    <w:p w:rsidR="0020499E" w:rsidRDefault="008E27E1">
      <w:r>
        <w:t xml:space="preserve">For the sake of efficiency and comparability of such self-evaluation however, it is important to ensure that they will </w:t>
      </w:r>
      <w:r>
        <w:t xml:space="preserve">get a proper training to be able to clearly distinguish the various types of phases and results of a research process. Given the small size of Georgia’s community, such training could be easily organized with limited means. </w:t>
      </w:r>
    </w:p>
    <w:p w:rsidR="0020499E" w:rsidRDefault="0020499E"/>
    <w:p w:rsidR="0020499E" w:rsidRDefault="008E27E1">
      <w:pPr>
        <w:autoSpaceDE/>
        <w:autoSpaceDN/>
        <w:adjustRightInd/>
      </w:pPr>
      <w:r>
        <w:lastRenderedPageBreak/>
        <w:t>Below is an example of the kin</w:t>
      </w:r>
      <w:r>
        <w:t xml:space="preserve">d of result-based management table that could be used to facilitate self-assessment:  </w:t>
      </w:r>
    </w:p>
    <w:p w:rsidR="0020499E" w:rsidRDefault="0020499E"/>
    <w:p w:rsidR="0020499E" w:rsidRDefault="008E27E1">
      <w:pPr>
        <w:rPr>
          <w:b/>
        </w:rPr>
      </w:pPr>
      <w:r>
        <w:rPr>
          <w:b/>
        </w:rPr>
        <w:t>RESULTS-BASED MANAGEMENT TABLE</w:t>
      </w:r>
    </w:p>
    <w:p w:rsidR="0020499E" w:rsidRDefault="0020499E"/>
    <w:tbl>
      <w:tblPr>
        <w:tblStyle w:val="TableGrid"/>
        <w:tblW w:w="0" w:type="auto"/>
        <w:shd w:val="clear" w:color="auto" w:fill="FFFFFF"/>
        <w:tblLook w:val="01E0"/>
      </w:tblPr>
      <w:tblGrid>
        <w:gridCol w:w="2660"/>
        <w:gridCol w:w="1984"/>
        <w:gridCol w:w="1560"/>
        <w:gridCol w:w="2268"/>
        <w:gridCol w:w="1525"/>
      </w:tblGrid>
      <w:tr w:rsidR="0020499E">
        <w:tc>
          <w:tcPr>
            <w:tcW w:w="4644" w:type="dxa"/>
            <w:gridSpan w:val="2"/>
            <w:shd w:val="clear" w:color="auto" w:fill="FFFFFF"/>
          </w:tcPr>
          <w:p w:rsidR="0020499E" w:rsidRDefault="008E27E1">
            <w:pPr>
              <w:rPr>
                <w:b/>
                <w:sz w:val="20"/>
                <w:szCs w:val="20"/>
              </w:rPr>
            </w:pPr>
            <w:r>
              <w:rPr>
                <w:b/>
                <w:sz w:val="20"/>
                <w:szCs w:val="20"/>
              </w:rPr>
              <w:t>Project Title:</w:t>
            </w:r>
          </w:p>
          <w:p w:rsidR="0020499E" w:rsidRDefault="0020499E">
            <w:pPr>
              <w:rPr>
                <w:b/>
                <w:sz w:val="20"/>
                <w:szCs w:val="20"/>
              </w:rPr>
            </w:pPr>
          </w:p>
        </w:tc>
        <w:tc>
          <w:tcPr>
            <w:tcW w:w="5353" w:type="dxa"/>
            <w:gridSpan w:val="3"/>
            <w:shd w:val="clear" w:color="auto" w:fill="FFFFFF"/>
          </w:tcPr>
          <w:p w:rsidR="0020499E" w:rsidRDefault="008E27E1">
            <w:pPr>
              <w:rPr>
                <w:b/>
                <w:sz w:val="20"/>
                <w:szCs w:val="20"/>
              </w:rPr>
            </w:pPr>
            <w:r>
              <w:rPr>
                <w:b/>
                <w:sz w:val="20"/>
                <w:szCs w:val="20"/>
              </w:rPr>
              <w:t>Name of Research Institution:</w:t>
            </w:r>
          </w:p>
        </w:tc>
      </w:tr>
      <w:tr w:rsidR="0020499E">
        <w:tc>
          <w:tcPr>
            <w:tcW w:w="2660" w:type="dxa"/>
            <w:tcBorders>
              <w:bottom w:val="single" w:sz="4" w:space="0" w:color="auto"/>
            </w:tcBorders>
            <w:shd w:val="clear" w:color="auto" w:fill="FFFFFF"/>
          </w:tcPr>
          <w:p w:rsidR="0020499E" w:rsidRDefault="008E27E1">
            <w:pPr>
              <w:jc w:val="center"/>
              <w:rPr>
                <w:b/>
                <w:sz w:val="20"/>
                <w:szCs w:val="20"/>
              </w:rPr>
            </w:pPr>
            <w:r>
              <w:rPr>
                <w:b/>
                <w:sz w:val="20"/>
                <w:szCs w:val="20"/>
              </w:rPr>
              <w:t>Expected</w:t>
            </w:r>
          </w:p>
          <w:p w:rsidR="0020499E" w:rsidRDefault="008E27E1">
            <w:pPr>
              <w:jc w:val="center"/>
              <w:rPr>
                <w:b/>
                <w:sz w:val="20"/>
                <w:szCs w:val="20"/>
              </w:rPr>
            </w:pPr>
            <w:r>
              <w:rPr>
                <w:b/>
                <w:sz w:val="20"/>
                <w:szCs w:val="20"/>
              </w:rPr>
              <w:t>Results</w:t>
            </w:r>
          </w:p>
        </w:tc>
        <w:tc>
          <w:tcPr>
            <w:tcW w:w="1984" w:type="dxa"/>
            <w:tcBorders>
              <w:bottom w:val="single" w:sz="4" w:space="0" w:color="auto"/>
            </w:tcBorders>
            <w:shd w:val="clear" w:color="auto" w:fill="FFFFFF"/>
          </w:tcPr>
          <w:p w:rsidR="0020499E" w:rsidRDefault="008E27E1">
            <w:pPr>
              <w:jc w:val="center"/>
              <w:rPr>
                <w:b/>
                <w:sz w:val="20"/>
                <w:szCs w:val="20"/>
              </w:rPr>
            </w:pPr>
            <w:r>
              <w:rPr>
                <w:b/>
                <w:sz w:val="20"/>
                <w:szCs w:val="20"/>
              </w:rPr>
              <w:t>Indicators</w:t>
            </w:r>
          </w:p>
        </w:tc>
        <w:tc>
          <w:tcPr>
            <w:tcW w:w="1560" w:type="dxa"/>
            <w:tcBorders>
              <w:bottom w:val="single" w:sz="4" w:space="0" w:color="auto"/>
            </w:tcBorders>
            <w:shd w:val="clear" w:color="auto" w:fill="FFFFFF"/>
          </w:tcPr>
          <w:p w:rsidR="0020499E" w:rsidRDefault="008E27E1">
            <w:pPr>
              <w:jc w:val="center"/>
              <w:rPr>
                <w:b/>
                <w:sz w:val="20"/>
                <w:szCs w:val="20"/>
              </w:rPr>
            </w:pPr>
            <w:r>
              <w:rPr>
                <w:b/>
                <w:sz w:val="20"/>
                <w:szCs w:val="20"/>
              </w:rPr>
              <w:t>Targets</w:t>
            </w:r>
          </w:p>
        </w:tc>
        <w:tc>
          <w:tcPr>
            <w:tcW w:w="2268" w:type="dxa"/>
            <w:tcBorders>
              <w:bottom w:val="single" w:sz="4" w:space="0" w:color="auto"/>
            </w:tcBorders>
            <w:shd w:val="clear" w:color="auto" w:fill="FFFFFF"/>
          </w:tcPr>
          <w:p w:rsidR="0020499E" w:rsidRDefault="008E27E1">
            <w:pPr>
              <w:jc w:val="center"/>
              <w:rPr>
                <w:b/>
                <w:sz w:val="20"/>
                <w:szCs w:val="20"/>
                <w:lang w:val="en-US"/>
              </w:rPr>
            </w:pPr>
            <w:r>
              <w:rPr>
                <w:b/>
                <w:sz w:val="20"/>
                <w:szCs w:val="20"/>
                <w:lang w:val="en-US"/>
              </w:rPr>
              <w:t xml:space="preserve">Actual Results for </w:t>
            </w:r>
          </w:p>
          <w:p w:rsidR="0020499E" w:rsidRDefault="008E27E1">
            <w:pPr>
              <w:jc w:val="center"/>
              <w:rPr>
                <w:b/>
                <w:sz w:val="20"/>
                <w:szCs w:val="20"/>
                <w:lang w:val="en-US"/>
              </w:rPr>
            </w:pPr>
            <w:r>
              <w:rPr>
                <w:b/>
                <w:sz w:val="20"/>
                <w:szCs w:val="20"/>
                <w:lang w:val="en-US"/>
              </w:rPr>
              <w:t>the Reporting Period</w:t>
            </w:r>
          </w:p>
        </w:tc>
        <w:tc>
          <w:tcPr>
            <w:tcW w:w="1525" w:type="dxa"/>
            <w:tcBorders>
              <w:bottom w:val="single" w:sz="4" w:space="0" w:color="auto"/>
            </w:tcBorders>
            <w:shd w:val="clear" w:color="auto" w:fill="FFFFFF"/>
          </w:tcPr>
          <w:p w:rsidR="0020499E" w:rsidRDefault="008E27E1">
            <w:pPr>
              <w:jc w:val="center"/>
              <w:rPr>
                <w:b/>
                <w:sz w:val="20"/>
                <w:szCs w:val="20"/>
              </w:rPr>
            </w:pPr>
            <w:r>
              <w:rPr>
                <w:b/>
                <w:sz w:val="20"/>
                <w:szCs w:val="20"/>
              </w:rPr>
              <w:t xml:space="preserve">Cumulative </w:t>
            </w:r>
            <w:r>
              <w:rPr>
                <w:b/>
                <w:sz w:val="20"/>
                <w:szCs w:val="20"/>
              </w:rPr>
              <w:t>Results</w:t>
            </w:r>
          </w:p>
        </w:tc>
      </w:tr>
      <w:tr w:rsidR="0020499E">
        <w:tc>
          <w:tcPr>
            <w:tcW w:w="9997" w:type="dxa"/>
            <w:gridSpan w:val="5"/>
            <w:shd w:val="clear" w:color="auto" w:fill="B3B3B3"/>
          </w:tcPr>
          <w:p w:rsidR="0020499E" w:rsidRDefault="008E27E1">
            <w:pPr>
              <w:rPr>
                <w:b/>
                <w:sz w:val="20"/>
                <w:szCs w:val="20"/>
              </w:rPr>
            </w:pPr>
            <w:r>
              <w:rPr>
                <w:b/>
                <w:sz w:val="20"/>
                <w:szCs w:val="20"/>
              </w:rPr>
              <w:t>Input</w:t>
            </w:r>
          </w:p>
        </w:tc>
      </w:tr>
      <w:tr w:rsidR="0020499E">
        <w:tc>
          <w:tcPr>
            <w:tcW w:w="2660" w:type="dxa"/>
            <w:tcBorders>
              <w:bottom w:val="single" w:sz="4" w:space="0" w:color="auto"/>
            </w:tcBorders>
            <w:shd w:val="clear" w:color="auto" w:fill="FFFFFF"/>
          </w:tcPr>
          <w:p w:rsidR="0020499E" w:rsidRDefault="008E27E1">
            <w:pPr>
              <w:rPr>
                <w:sz w:val="20"/>
                <w:szCs w:val="20"/>
              </w:rPr>
            </w:pPr>
            <w:r>
              <w:rPr>
                <w:sz w:val="20"/>
                <w:szCs w:val="20"/>
              </w:rPr>
              <w:t>Immediate Input</w:t>
            </w:r>
          </w:p>
          <w:p w:rsidR="0020499E" w:rsidRDefault="008E27E1">
            <w:pPr>
              <w:rPr>
                <w:sz w:val="20"/>
                <w:szCs w:val="20"/>
              </w:rPr>
            </w:pPr>
            <w:r>
              <w:rPr>
                <w:sz w:val="20"/>
                <w:szCs w:val="20"/>
              </w:rPr>
              <w:t>Intermediate input</w:t>
            </w:r>
          </w:p>
        </w:tc>
        <w:tc>
          <w:tcPr>
            <w:tcW w:w="1984" w:type="dxa"/>
            <w:tcBorders>
              <w:bottom w:val="single" w:sz="4" w:space="0" w:color="auto"/>
            </w:tcBorders>
            <w:shd w:val="clear" w:color="auto" w:fill="FFFFFF"/>
          </w:tcPr>
          <w:p w:rsidR="0020499E" w:rsidRDefault="0020499E">
            <w:pPr>
              <w:rPr>
                <w:sz w:val="20"/>
                <w:szCs w:val="20"/>
              </w:rPr>
            </w:pPr>
          </w:p>
        </w:tc>
        <w:tc>
          <w:tcPr>
            <w:tcW w:w="1560" w:type="dxa"/>
            <w:tcBorders>
              <w:bottom w:val="single" w:sz="4" w:space="0" w:color="auto"/>
            </w:tcBorders>
            <w:shd w:val="clear" w:color="auto" w:fill="FFFFFF"/>
          </w:tcPr>
          <w:p w:rsidR="0020499E" w:rsidRDefault="0020499E">
            <w:pPr>
              <w:rPr>
                <w:sz w:val="20"/>
                <w:szCs w:val="20"/>
              </w:rPr>
            </w:pPr>
          </w:p>
        </w:tc>
        <w:tc>
          <w:tcPr>
            <w:tcW w:w="2268" w:type="dxa"/>
            <w:tcBorders>
              <w:bottom w:val="single" w:sz="4" w:space="0" w:color="auto"/>
            </w:tcBorders>
            <w:shd w:val="clear" w:color="auto" w:fill="FFFFFF" w:themeFill="background1"/>
          </w:tcPr>
          <w:p w:rsidR="0020499E" w:rsidRDefault="0020499E">
            <w:pPr>
              <w:rPr>
                <w:sz w:val="20"/>
                <w:szCs w:val="20"/>
              </w:rPr>
            </w:pPr>
          </w:p>
        </w:tc>
        <w:tc>
          <w:tcPr>
            <w:tcW w:w="1525" w:type="dxa"/>
            <w:tcBorders>
              <w:bottom w:val="single" w:sz="4" w:space="0" w:color="auto"/>
            </w:tcBorders>
            <w:shd w:val="clear" w:color="auto" w:fill="FFFFFF" w:themeFill="background1"/>
          </w:tcPr>
          <w:p w:rsidR="0020499E" w:rsidRDefault="0020499E">
            <w:pPr>
              <w:rPr>
                <w:sz w:val="20"/>
                <w:szCs w:val="20"/>
              </w:rPr>
            </w:pPr>
          </w:p>
        </w:tc>
      </w:tr>
      <w:tr w:rsidR="0020499E">
        <w:tc>
          <w:tcPr>
            <w:tcW w:w="9997" w:type="dxa"/>
            <w:gridSpan w:val="5"/>
            <w:shd w:val="clear" w:color="auto" w:fill="B3B3B3"/>
          </w:tcPr>
          <w:p w:rsidR="0020499E" w:rsidRDefault="008E27E1">
            <w:pPr>
              <w:rPr>
                <w:b/>
                <w:sz w:val="20"/>
                <w:szCs w:val="20"/>
              </w:rPr>
            </w:pPr>
            <w:r>
              <w:rPr>
                <w:b/>
                <w:sz w:val="20"/>
                <w:szCs w:val="20"/>
              </w:rPr>
              <w:t>Activities</w:t>
            </w:r>
          </w:p>
        </w:tc>
      </w:tr>
      <w:tr w:rsidR="0020499E">
        <w:tc>
          <w:tcPr>
            <w:tcW w:w="2660" w:type="dxa"/>
            <w:tcBorders>
              <w:bottom w:val="single" w:sz="4" w:space="0" w:color="auto"/>
            </w:tcBorders>
            <w:shd w:val="clear" w:color="auto" w:fill="FFFFFF"/>
          </w:tcPr>
          <w:p w:rsidR="0020499E" w:rsidRDefault="0020499E">
            <w:pPr>
              <w:rPr>
                <w:sz w:val="20"/>
                <w:szCs w:val="20"/>
              </w:rPr>
            </w:pPr>
          </w:p>
        </w:tc>
        <w:tc>
          <w:tcPr>
            <w:tcW w:w="1984" w:type="dxa"/>
            <w:tcBorders>
              <w:bottom w:val="single" w:sz="4" w:space="0" w:color="auto"/>
            </w:tcBorders>
            <w:shd w:val="clear" w:color="auto" w:fill="FFFFFF"/>
          </w:tcPr>
          <w:p w:rsidR="0020499E" w:rsidRDefault="0020499E">
            <w:pPr>
              <w:rPr>
                <w:sz w:val="20"/>
                <w:szCs w:val="20"/>
              </w:rPr>
            </w:pPr>
          </w:p>
        </w:tc>
        <w:tc>
          <w:tcPr>
            <w:tcW w:w="1560" w:type="dxa"/>
            <w:tcBorders>
              <w:bottom w:val="single" w:sz="4" w:space="0" w:color="auto"/>
            </w:tcBorders>
            <w:shd w:val="clear" w:color="auto" w:fill="FFFFFF"/>
          </w:tcPr>
          <w:p w:rsidR="0020499E" w:rsidRDefault="0020499E">
            <w:pPr>
              <w:rPr>
                <w:sz w:val="20"/>
                <w:szCs w:val="20"/>
              </w:rPr>
            </w:pPr>
          </w:p>
        </w:tc>
        <w:tc>
          <w:tcPr>
            <w:tcW w:w="2268" w:type="dxa"/>
            <w:tcBorders>
              <w:bottom w:val="single" w:sz="4" w:space="0" w:color="auto"/>
            </w:tcBorders>
            <w:shd w:val="clear" w:color="auto" w:fill="FFFFFF" w:themeFill="background1"/>
          </w:tcPr>
          <w:p w:rsidR="0020499E" w:rsidRDefault="0020499E">
            <w:pPr>
              <w:rPr>
                <w:sz w:val="20"/>
                <w:szCs w:val="20"/>
              </w:rPr>
            </w:pPr>
          </w:p>
        </w:tc>
        <w:tc>
          <w:tcPr>
            <w:tcW w:w="1525" w:type="dxa"/>
            <w:tcBorders>
              <w:bottom w:val="single" w:sz="4" w:space="0" w:color="auto"/>
            </w:tcBorders>
            <w:shd w:val="clear" w:color="auto" w:fill="FFFFFF" w:themeFill="background1"/>
          </w:tcPr>
          <w:p w:rsidR="0020499E" w:rsidRDefault="0020499E">
            <w:pPr>
              <w:rPr>
                <w:sz w:val="20"/>
                <w:szCs w:val="20"/>
              </w:rPr>
            </w:pPr>
          </w:p>
        </w:tc>
      </w:tr>
      <w:tr w:rsidR="0020499E">
        <w:tc>
          <w:tcPr>
            <w:tcW w:w="9997" w:type="dxa"/>
            <w:gridSpan w:val="5"/>
            <w:shd w:val="clear" w:color="auto" w:fill="B3B3B3"/>
          </w:tcPr>
          <w:p w:rsidR="0020499E" w:rsidRDefault="008E27E1">
            <w:pPr>
              <w:rPr>
                <w:b/>
                <w:sz w:val="20"/>
                <w:szCs w:val="20"/>
              </w:rPr>
            </w:pPr>
            <w:r>
              <w:rPr>
                <w:b/>
                <w:sz w:val="20"/>
                <w:szCs w:val="20"/>
              </w:rPr>
              <w:t xml:space="preserve">Outputs </w:t>
            </w:r>
          </w:p>
        </w:tc>
      </w:tr>
      <w:tr w:rsidR="0020499E">
        <w:tc>
          <w:tcPr>
            <w:tcW w:w="2660" w:type="dxa"/>
            <w:tcBorders>
              <w:bottom w:val="single" w:sz="4" w:space="0" w:color="auto"/>
            </w:tcBorders>
            <w:shd w:val="clear" w:color="auto" w:fill="FFFFFF"/>
          </w:tcPr>
          <w:p w:rsidR="0020499E" w:rsidRDefault="0020499E">
            <w:pPr>
              <w:rPr>
                <w:sz w:val="20"/>
                <w:szCs w:val="20"/>
              </w:rPr>
            </w:pPr>
          </w:p>
        </w:tc>
        <w:tc>
          <w:tcPr>
            <w:tcW w:w="1984" w:type="dxa"/>
            <w:tcBorders>
              <w:bottom w:val="single" w:sz="4" w:space="0" w:color="auto"/>
            </w:tcBorders>
            <w:shd w:val="clear" w:color="auto" w:fill="FFFFFF"/>
          </w:tcPr>
          <w:p w:rsidR="0020499E" w:rsidRDefault="0020499E">
            <w:pPr>
              <w:rPr>
                <w:sz w:val="20"/>
                <w:szCs w:val="20"/>
              </w:rPr>
            </w:pPr>
          </w:p>
        </w:tc>
        <w:tc>
          <w:tcPr>
            <w:tcW w:w="1560" w:type="dxa"/>
            <w:tcBorders>
              <w:bottom w:val="single" w:sz="4" w:space="0" w:color="auto"/>
            </w:tcBorders>
            <w:shd w:val="clear" w:color="auto" w:fill="FFFFFF"/>
          </w:tcPr>
          <w:p w:rsidR="0020499E" w:rsidRDefault="0020499E">
            <w:pPr>
              <w:rPr>
                <w:sz w:val="20"/>
                <w:szCs w:val="20"/>
              </w:rPr>
            </w:pPr>
          </w:p>
        </w:tc>
        <w:tc>
          <w:tcPr>
            <w:tcW w:w="2268" w:type="dxa"/>
            <w:tcBorders>
              <w:bottom w:val="single" w:sz="4" w:space="0" w:color="auto"/>
            </w:tcBorders>
            <w:shd w:val="clear" w:color="auto" w:fill="FFFFFF" w:themeFill="background1"/>
          </w:tcPr>
          <w:p w:rsidR="0020499E" w:rsidRDefault="0020499E">
            <w:pPr>
              <w:rPr>
                <w:sz w:val="20"/>
                <w:szCs w:val="20"/>
              </w:rPr>
            </w:pPr>
          </w:p>
        </w:tc>
        <w:tc>
          <w:tcPr>
            <w:tcW w:w="1525" w:type="dxa"/>
            <w:tcBorders>
              <w:bottom w:val="single" w:sz="4" w:space="0" w:color="auto"/>
            </w:tcBorders>
            <w:shd w:val="clear" w:color="auto" w:fill="FFFFFF" w:themeFill="background1"/>
          </w:tcPr>
          <w:p w:rsidR="0020499E" w:rsidRDefault="0020499E">
            <w:pPr>
              <w:rPr>
                <w:sz w:val="20"/>
                <w:szCs w:val="20"/>
              </w:rPr>
            </w:pPr>
          </w:p>
        </w:tc>
      </w:tr>
      <w:tr w:rsidR="0020499E">
        <w:tc>
          <w:tcPr>
            <w:tcW w:w="9997" w:type="dxa"/>
            <w:gridSpan w:val="5"/>
            <w:shd w:val="clear" w:color="auto" w:fill="B3B3B3"/>
          </w:tcPr>
          <w:p w:rsidR="0020499E" w:rsidRDefault="008E27E1">
            <w:pPr>
              <w:rPr>
                <w:b/>
                <w:sz w:val="20"/>
                <w:szCs w:val="20"/>
              </w:rPr>
            </w:pPr>
            <w:r>
              <w:rPr>
                <w:b/>
                <w:sz w:val="20"/>
                <w:szCs w:val="20"/>
              </w:rPr>
              <w:t>Outcome</w:t>
            </w:r>
          </w:p>
        </w:tc>
      </w:tr>
      <w:tr w:rsidR="0020499E">
        <w:tc>
          <w:tcPr>
            <w:tcW w:w="2660" w:type="dxa"/>
            <w:tcBorders>
              <w:bottom w:val="single" w:sz="4" w:space="0" w:color="auto"/>
            </w:tcBorders>
            <w:shd w:val="clear" w:color="auto" w:fill="FFFFFF"/>
          </w:tcPr>
          <w:p w:rsidR="0020499E" w:rsidRDefault="008E27E1">
            <w:pPr>
              <w:rPr>
                <w:sz w:val="20"/>
                <w:szCs w:val="20"/>
                <w:lang w:val="en-US"/>
              </w:rPr>
            </w:pPr>
            <w:r>
              <w:rPr>
                <w:sz w:val="20"/>
                <w:szCs w:val="20"/>
                <w:lang w:val="en-US"/>
              </w:rPr>
              <w:t>Immediate Outcomes Intermediate Outcomes</w:t>
            </w:r>
          </w:p>
          <w:p w:rsidR="0020499E" w:rsidRDefault="008E27E1">
            <w:pPr>
              <w:rPr>
                <w:sz w:val="20"/>
                <w:szCs w:val="20"/>
                <w:lang w:val="en-US"/>
              </w:rPr>
            </w:pPr>
            <w:r>
              <w:rPr>
                <w:sz w:val="20"/>
                <w:szCs w:val="20"/>
                <w:lang w:val="en-US"/>
              </w:rPr>
              <w:t>Ultimate outcome</w:t>
            </w:r>
          </w:p>
        </w:tc>
        <w:tc>
          <w:tcPr>
            <w:tcW w:w="1984" w:type="dxa"/>
            <w:tcBorders>
              <w:bottom w:val="single" w:sz="4" w:space="0" w:color="auto"/>
            </w:tcBorders>
            <w:shd w:val="clear" w:color="auto" w:fill="FFFFFF"/>
          </w:tcPr>
          <w:p w:rsidR="0020499E" w:rsidRDefault="0020499E">
            <w:pPr>
              <w:rPr>
                <w:sz w:val="20"/>
                <w:szCs w:val="20"/>
                <w:lang w:val="en-US"/>
              </w:rPr>
            </w:pPr>
          </w:p>
        </w:tc>
        <w:tc>
          <w:tcPr>
            <w:tcW w:w="1560" w:type="dxa"/>
            <w:tcBorders>
              <w:bottom w:val="single" w:sz="4" w:space="0" w:color="auto"/>
            </w:tcBorders>
            <w:shd w:val="clear" w:color="auto" w:fill="FFFFFF"/>
          </w:tcPr>
          <w:p w:rsidR="0020499E" w:rsidRDefault="0020499E">
            <w:pPr>
              <w:rPr>
                <w:sz w:val="20"/>
                <w:szCs w:val="20"/>
                <w:lang w:val="en-US"/>
              </w:rPr>
            </w:pPr>
          </w:p>
        </w:tc>
        <w:tc>
          <w:tcPr>
            <w:tcW w:w="2268" w:type="dxa"/>
            <w:tcBorders>
              <w:bottom w:val="single" w:sz="4" w:space="0" w:color="auto"/>
            </w:tcBorders>
            <w:shd w:val="clear" w:color="auto" w:fill="FFFFFF" w:themeFill="background1"/>
          </w:tcPr>
          <w:p w:rsidR="0020499E" w:rsidRDefault="0020499E">
            <w:pPr>
              <w:rPr>
                <w:sz w:val="20"/>
                <w:szCs w:val="20"/>
                <w:lang w:val="en-US"/>
              </w:rPr>
            </w:pPr>
          </w:p>
        </w:tc>
        <w:tc>
          <w:tcPr>
            <w:tcW w:w="1525" w:type="dxa"/>
            <w:tcBorders>
              <w:bottom w:val="single" w:sz="4" w:space="0" w:color="auto"/>
            </w:tcBorders>
            <w:shd w:val="clear" w:color="auto" w:fill="FFFFFF" w:themeFill="background1"/>
          </w:tcPr>
          <w:p w:rsidR="0020499E" w:rsidRDefault="0020499E">
            <w:pPr>
              <w:rPr>
                <w:sz w:val="20"/>
                <w:szCs w:val="20"/>
                <w:lang w:val="en-US"/>
              </w:rPr>
            </w:pPr>
          </w:p>
        </w:tc>
      </w:tr>
      <w:tr w:rsidR="0020499E">
        <w:tc>
          <w:tcPr>
            <w:tcW w:w="9997" w:type="dxa"/>
            <w:gridSpan w:val="5"/>
            <w:shd w:val="clear" w:color="auto" w:fill="B3B3B3"/>
          </w:tcPr>
          <w:p w:rsidR="0020499E" w:rsidRDefault="008E27E1">
            <w:pPr>
              <w:rPr>
                <w:b/>
                <w:sz w:val="20"/>
                <w:szCs w:val="20"/>
              </w:rPr>
            </w:pPr>
            <w:r>
              <w:rPr>
                <w:b/>
                <w:sz w:val="20"/>
                <w:szCs w:val="20"/>
              </w:rPr>
              <w:t>Impacts</w:t>
            </w:r>
          </w:p>
        </w:tc>
      </w:tr>
      <w:tr w:rsidR="0020499E">
        <w:tc>
          <w:tcPr>
            <w:tcW w:w="2660" w:type="dxa"/>
            <w:tcBorders>
              <w:bottom w:val="single" w:sz="4" w:space="0" w:color="auto"/>
            </w:tcBorders>
            <w:shd w:val="clear" w:color="auto" w:fill="FFFFFF"/>
          </w:tcPr>
          <w:p w:rsidR="0020499E" w:rsidRDefault="0020499E">
            <w:pPr>
              <w:rPr>
                <w:sz w:val="20"/>
                <w:szCs w:val="20"/>
                <w:lang w:val="en-US"/>
              </w:rPr>
            </w:pPr>
          </w:p>
        </w:tc>
        <w:tc>
          <w:tcPr>
            <w:tcW w:w="1984" w:type="dxa"/>
            <w:tcBorders>
              <w:bottom w:val="single" w:sz="4" w:space="0" w:color="auto"/>
            </w:tcBorders>
            <w:shd w:val="clear" w:color="auto" w:fill="FFFFFF"/>
          </w:tcPr>
          <w:p w:rsidR="0020499E" w:rsidRDefault="0020499E">
            <w:pPr>
              <w:rPr>
                <w:sz w:val="20"/>
                <w:szCs w:val="20"/>
                <w:lang w:val="en-US"/>
              </w:rPr>
            </w:pPr>
          </w:p>
        </w:tc>
        <w:tc>
          <w:tcPr>
            <w:tcW w:w="1560" w:type="dxa"/>
            <w:tcBorders>
              <w:bottom w:val="single" w:sz="4" w:space="0" w:color="auto"/>
            </w:tcBorders>
            <w:shd w:val="clear" w:color="auto" w:fill="FFFFFF"/>
          </w:tcPr>
          <w:p w:rsidR="0020499E" w:rsidRDefault="0020499E">
            <w:pPr>
              <w:rPr>
                <w:sz w:val="20"/>
                <w:szCs w:val="20"/>
                <w:lang w:val="en-US"/>
              </w:rPr>
            </w:pPr>
          </w:p>
        </w:tc>
        <w:tc>
          <w:tcPr>
            <w:tcW w:w="2268" w:type="dxa"/>
            <w:tcBorders>
              <w:bottom w:val="single" w:sz="4" w:space="0" w:color="auto"/>
            </w:tcBorders>
            <w:shd w:val="clear" w:color="auto" w:fill="FFFFFF" w:themeFill="background1"/>
          </w:tcPr>
          <w:p w:rsidR="0020499E" w:rsidRDefault="0020499E">
            <w:pPr>
              <w:rPr>
                <w:sz w:val="20"/>
                <w:szCs w:val="20"/>
                <w:lang w:val="en-US"/>
              </w:rPr>
            </w:pPr>
          </w:p>
        </w:tc>
        <w:tc>
          <w:tcPr>
            <w:tcW w:w="1525" w:type="dxa"/>
            <w:tcBorders>
              <w:bottom w:val="single" w:sz="4" w:space="0" w:color="auto"/>
            </w:tcBorders>
            <w:shd w:val="clear" w:color="auto" w:fill="FFFFFF" w:themeFill="background1"/>
          </w:tcPr>
          <w:p w:rsidR="0020499E" w:rsidRDefault="0020499E">
            <w:pPr>
              <w:rPr>
                <w:sz w:val="20"/>
                <w:szCs w:val="20"/>
                <w:lang w:val="en-US"/>
              </w:rPr>
            </w:pPr>
          </w:p>
        </w:tc>
      </w:tr>
    </w:tbl>
    <w:p w:rsidR="0020499E" w:rsidRDefault="008E27E1">
      <w:pPr>
        <w:autoSpaceDE/>
        <w:autoSpaceDN/>
        <w:adjustRightInd/>
        <w:jc w:val="left"/>
        <w:rPr>
          <w:rFonts w:cs="Times New Roman"/>
          <w:sz w:val="18"/>
        </w:rPr>
      </w:pPr>
      <w:r>
        <w:rPr>
          <w:rFonts w:cs="Times New Roman"/>
          <w:sz w:val="18"/>
        </w:rPr>
        <w:t>Source: Canadian Ministry of Education</w:t>
      </w:r>
    </w:p>
    <w:p w:rsidR="0020499E" w:rsidRDefault="008E27E1">
      <w:pPr>
        <w:autoSpaceDE/>
        <w:autoSpaceDN/>
        <w:adjustRightInd/>
        <w:jc w:val="left"/>
        <w:rPr>
          <w:b/>
          <w:sz w:val="32"/>
          <w:szCs w:val="32"/>
        </w:rPr>
      </w:pPr>
      <w:r>
        <w:br w:type="page"/>
      </w:r>
    </w:p>
    <w:p w:rsidR="0020499E" w:rsidRDefault="008E27E1">
      <w:pPr>
        <w:pStyle w:val="Heading1"/>
        <w:numPr>
          <w:ilvl w:val="0"/>
          <w:numId w:val="0"/>
        </w:numPr>
        <w:ind w:left="360" w:hanging="360"/>
      </w:pPr>
      <w:bookmarkStart w:id="48" w:name="_Toc389396935"/>
      <w:r>
        <w:lastRenderedPageBreak/>
        <w:t>CONCLUSION</w:t>
      </w:r>
      <w:bookmarkEnd w:id="48"/>
    </w:p>
    <w:p w:rsidR="0020499E" w:rsidRDefault="0020499E"/>
    <w:p w:rsidR="0020499E" w:rsidRDefault="008E27E1">
      <w:pPr>
        <w:rPr>
          <w:rFonts w:cs="Times New Roman"/>
        </w:rPr>
      </w:pPr>
      <w:r>
        <w:rPr>
          <w:rFonts w:cs="Times New Roman"/>
        </w:rPr>
        <w:t xml:space="preserve">The assessment of </w:t>
      </w:r>
      <w:r>
        <w:rPr>
          <w:rFonts w:cs="Times New Roman"/>
        </w:rPr>
        <w:t>scientific research serves multiple purposes but in Georgia, the current lack of a comprehensive research output database and the scarcity of research funding justify that two purposes, namely “analyze”  and “allocate” be served first.Accordingly, a simple</w:t>
      </w:r>
      <w:r>
        <w:rPr>
          <w:rFonts w:cs="Times New Roman"/>
        </w:rPr>
        <w:t xml:space="preserve"> evaluation framework is insufficient: it has to be a sophisticated, multi-layered framework involving a peer-review process that goes beyond conference proceedings and articles to include research output such as books and patents. </w:t>
      </w:r>
    </w:p>
    <w:p w:rsidR="0020499E" w:rsidRDefault="0020499E">
      <w:pPr>
        <w:rPr>
          <w:rFonts w:cs="Times New Roman"/>
        </w:rPr>
      </w:pPr>
    </w:p>
    <w:p w:rsidR="0020499E" w:rsidRDefault="008E27E1">
      <w:pPr>
        <w:rPr>
          <w:rFonts w:cs="Times New Roman"/>
        </w:rPr>
      </w:pPr>
      <w:r>
        <w:rPr>
          <w:rFonts w:cs="Times New Roman"/>
        </w:rPr>
        <w:t>Considering the potent</w:t>
      </w:r>
      <w:r>
        <w:rPr>
          <w:rFonts w:cs="Times New Roman"/>
        </w:rPr>
        <w:t>ially drastic implications of such assessment, a specific attention should be devoted to the transparency and the legitimacy of the process. From a practical point of view, this requires a significant and visible pool of international experts and also, mor</w:t>
      </w:r>
      <w:r>
        <w:rPr>
          <w:rFonts w:cs="Times New Roman"/>
        </w:rPr>
        <w:t xml:space="preserve">e monitoring by more stakeholders – in short more check and balance - than what Georgian law currently requires. </w:t>
      </w:r>
    </w:p>
    <w:p w:rsidR="0020499E" w:rsidRDefault="0020499E">
      <w:pPr>
        <w:rPr>
          <w:rFonts w:cs="Times New Roman"/>
        </w:rPr>
      </w:pPr>
    </w:p>
    <w:p w:rsidR="0020499E" w:rsidRDefault="008E27E1">
      <w:r>
        <w:rPr>
          <w:rFonts w:cs="Times New Roman"/>
        </w:rPr>
        <w:t xml:space="preserve">Finally, it is important to recall that in parallel, it is urgent to resolve the problem posed by </w:t>
      </w:r>
      <w:r>
        <w:t xml:space="preserve">the lack of a young generation of scientists capable and willing to take over a research sector predominantly populated by aging researchers. </w:t>
      </w:r>
    </w:p>
    <w:p w:rsidR="0020499E" w:rsidRDefault="0020499E"/>
    <w:p w:rsidR="0020499E" w:rsidRDefault="008E27E1">
      <w:r>
        <w:t xml:space="preserve">It is thus necessary to ensure that the research strategy and the innovation strategy that will be respectively </w:t>
      </w:r>
      <w:r>
        <w:t>implemented by the Ministry of Education and Science and the Ministry of Economy and Sustainable Development will each provide clear incentives to go to science.</w:t>
      </w:r>
    </w:p>
    <w:p w:rsidR="0020499E" w:rsidRDefault="0020499E">
      <w:pPr>
        <w:autoSpaceDE/>
        <w:autoSpaceDN/>
        <w:adjustRightInd/>
        <w:jc w:val="left"/>
        <w:rPr>
          <w:b/>
          <w:sz w:val="32"/>
          <w:szCs w:val="32"/>
        </w:rPr>
      </w:pPr>
    </w:p>
    <w:p w:rsidR="0020499E" w:rsidRDefault="008E27E1">
      <w:pPr>
        <w:autoSpaceDE/>
        <w:autoSpaceDN/>
        <w:adjustRightInd/>
        <w:jc w:val="left"/>
        <w:rPr>
          <w:b/>
          <w:sz w:val="32"/>
          <w:szCs w:val="32"/>
        </w:rPr>
      </w:pPr>
      <w:r>
        <w:br w:type="page"/>
      </w:r>
    </w:p>
    <w:p w:rsidR="0020499E" w:rsidRDefault="008E27E1">
      <w:pPr>
        <w:pStyle w:val="Heading1"/>
        <w:numPr>
          <w:ilvl w:val="0"/>
          <w:numId w:val="0"/>
        </w:numPr>
        <w:ind w:left="360" w:hanging="218"/>
      </w:pPr>
      <w:bookmarkStart w:id="49" w:name="_Toc389396936"/>
      <w:r>
        <w:lastRenderedPageBreak/>
        <w:t>REFERENCES</w:t>
      </w:r>
      <w:bookmarkEnd w:id="49"/>
    </w:p>
    <w:p w:rsidR="0020499E" w:rsidRDefault="0020499E">
      <w:pPr>
        <w:jc w:val="left"/>
      </w:pPr>
    </w:p>
    <w:p w:rsidR="0020499E" w:rsidRDefault="008E27E1">
      <w:pPr>
        <w:pStyle w:val="ListParagraph"/>
        <w:widowControl/>
        <w:numPr>
          <w:ilvl w:val="0"/>
          <w:numId w:val="6"/>
        </w:numPr>
        <w:jc w:val="left"/>
        <w:rPr>
          <w:rFonts w:ascii="Verdana" w:hAnsi="Verdana" w:cs="GaramondPremrPro-It"/>
          <w:i/>
          <w:iCs/>
          <w:sz w:val="20"/>
          <w:szCs w:val="20"/>
        </w:rPr>
      </w:pPr>
      <w:r>
        <w:rPr>
          <w:rFonts w:ascii="Verdana" w:hAnsi="Verdana" w:cs="GaramondPremrPro-Capt"/>
          <w:sz w:val="20"/>
          <w:szCs w:val="20"/>
        </w:rPr>
        <w:t xml:space="preserve">Adler, A, Harzing, A-W (2009), When Knowledge Wins: Transcending the Sense and </w:t>
      </w:r>
      <w:r>
        <w:rPr>
          <w:rFonts w:ascii="Verdana" w:hAnsi="Verdana" w:cs="GaramondPremrPro-Capt"/>
          <w:sz w:val="20"/>
          <w:szCs w:val="20"/>
        </w:rPr>
        <w:t xml:space="preserve">Nonsense of Academic Rankings”, Academy of Management, learning and education, available at: </w:t>
      </w:r>
    </w:p>
    <w:p w:rsidR="0020499E" w:rsidRDefault="008E27E1">
      <w:pPr>
        <w:pStyle w:val="ListParagraph"/>
        <w:numPr>
          <w:ilvl w:val="0"/>
          <w:numId w:val="6"/>
        </w:numPr>
        <w:jc w:val="left"/>
        <w:rPr>
          <w:rFonts w:ascii="Verdana" w:hAnsi="Verdana" w:cs="LitMtavrPS"/>
          <w:sz w:val="20"/>
          <w:szCs w:val="20"/>
          <w:lang w:val="en-GB"/>
        </w:rPr>
      </w:pPr>
      <w:r>
        <w:rPr>
          <w:rFonts w:ascii="Verdana" w:hAnsi="Verdana" w:cs="LitMtavrPS"/>
          <w:sz w:val="20"/>
          <w:szCs w:val="20"/>
          <w:lang w:val="en-GB"/>
        </w:rPr>
        <w:t>Bakradze, L.,</w:t>
      </w:r>
      <w:r>
        <w:rPr>
          <w:rFonts w:ascii="Verdana" w:hAnsi="Verdana"/>
          <w:sz w:val="20"/>
          <w:szCs w:val="20"/>
          <w:lang w:val="en-GB"/>
        </w:rPr>
        <w:t xml:space="preserve"> (2013) </w:t>
      </w:r>
      <w:r>
        <w:rPr>
          <w:rFonts w:ascii="Verdana" w:hAnsi="Verdana" w:cs="LitMtavrPS"/>
          <w:sz w:val="20"/>
          <w:szCs w:val="20"/>
          <w:lang w:val="en-GB"/>
        </w:rPr>
        <w:t xml:space="preserve">Integration of Teaching and Research, </w:t>
      </w:r>
      <w:r>
        <w:rPr>
          <w:rFonts w:ascii="Verdana" w:hAnsi="Verdana" w:cs="LitMtavrPS"/>
          <w:i/>
          <w:sz w:val="20"/>
          <w:szCs w:val="20"/>
          <w:lang w:val="en-GB"/>
        </w:rPr>
        <w:t>in</w:t>
      </w:r>
      <w:r>
        <w:rPr>
          <w:rFonts w:ascii="Verdana" w:hAnsi="Verdana"/>
          <w:sz w:val="20"/>
          <w:szCs w:val="20"/>
          <w:lang w:val="en-GB"/>
        </w:rPr>
        <w:t xml:space="preserve">Strategic Development of Higher Education and Science in Georgia: Policy Analysis of Higher Education according to Five Strategic Directions </w:t>
      </w:r>
      <w:r>
        <w:rPr>
          <w:rFonts w:ascii="Verdana" w:hAnsi="Verdana" w:cs="LitMtavrPS"/>
          <w:sz w:val="20"/>
          <w:szCs w:val="20"/>
          <w:lang w:val="en-GB"/>
        </w:rPr>
        <w:t xml:space="preserve">Expert –, </w:t>
      </w:r>
      <w:r>
        <w:rPr>
          <w:rFonts w:ascii="Verdana" w:hAnsi="Verdana" w:cs="Arial"/>
          <w:color w:val="333333"/>
          <w:sz w:val="20"/>
          <w:szCs w:val="20"/>
          <w:shd w:val="clear" w:color="auto" w:fill="FFFFFF"/>
        </w:rPr>
        <w:t>The International Institute for Education, Policy</w:t>
      </w:r>
      <w:r>
        <w:rPr>
          <w:rFonts w:ascii="Verdana" w:hAnsi="Verdana" w:cs="Arial"/>
          <w:color w:val="333333"/>
          <w:sz w:val="20"/>
          <w:szCs w:val="20"/>
          <w:shd w:val="clear" w:color="auto" w:fill="FFFFFF"/>
          <w:lang w:val="ka-GE"/>
        </w:rPr>
        <w:t>,</w:t>
      </w:r>
      <w:r>
        <w:rPr>
          <w:rFonts w:ascii="Verdana" w:hAnsi="Verdana" w:cs="Arial"/>
          <w:color w:val="333333"/>
          <w:sz w:val="20"/>
          <w:szCs w:val="20"/>
          <w:shd w:val="clear" w:color="auto" w:fill="FFFFFF"/>
        </w:rPr>
        <w:t xml:space="preserve"> Planning and Management</w:t>
      </w:r>
    </w:p>
    <w:p w:rsidR="0020499E" w:rsidRDefault="008E27E1">
      <w:pPr>
        <w:pStyle w:val="Default"/>
        <w:numPr>
          <w:ilvl w:val="0"/>
          <w:numId w:val="6"/>
        </w:numPr>
        <w:autoSpaceDE/>
        <w:autoSpaceDN/>
        <w:adjustRightInd/>
        <w:rPr>
          <w:rFonts w:ascii="Verdana" w:hAnsi="Verdana"/>
          <w:sz w:val="20"/>
          <w:szCs w:val="20"/>
          <w:lang w:val="en-US"/>
        </w:rPr>
      </w:pPr>
      <w:r>
        <w:rPr>
          <w:rFonts w:ascii="Verdana" w:hAnsi="Verdana"/>
          <w:sz w:val="20"/>
          <w:szCs w:val="20"/>
          <w:lang w:val="en-US"/>
        </w:rPr>
        <w:t xml:space="preserve">Chobanyan L., Makhviladze N., </w:t>
      </w:r>
      <w:r>
        <w:rPr>
          <w:rFonts w:ascii="Verdana" w:hAnsi="Verdana"/>
          <w:sz w:val="20"/>
          <w:szCs w:val="20"/>
          <w:lang w:val="en-US"/>
        </w:rPr>
        <w:t>Shatberashvili O., Tsotskolauri P. (2010) The unification of bibliometric indices to assess the level of scientific productivity at the micro- and mezzo- levels , Georgian Federation for Information and Documentation, Institute TECHINFORMI</w:t>
      </w:r>
    </w:p>
    <w:p w:rsidR="0020499E" w:rsidRDefault="008E27E1">
      <w:pPr>
        <w:pStyle w:val="ListParagraph"/>
        <w:widowControl/>
        <w:numPr>
          <w:ilvl w:val="0"/>
          <w:numId w:val="6"/>
        </w:numPr>
        <w:jc w:val="left"/>
        <w:rPr>
          <w:rFonts w:ascii="Verdana" w:hAnsi="Verdana" w:cs="GaramondPremrPro-It"/>
          <w:i/>
          <w:iCs/>
          <w:sz w:val="20"/>
          <w:szCs w:val="20"/>
        </w:rPr>
      </w:pPr>
      <w:r>
        <w:rPr>
          <w:rFonts w:ascii="Verdana" w:hAnsi="Verdana" w:cs="GaramondPremrPro-Capt"/>
          <w:sz w:val="20"/>
          <w:szCs w:val="20"/>
        </w:rPr>
        <w:t>European Foundat</w:t>
      </w:r>
      <w:r>
        <w:rPr>
          <w:rFonts w:ascii="Verdana" w:hAnsi="Verdana" w:cs="GaramondPremrPro-Capt"/>
          <w:sz w:val="20"/>
          <w:szCs w:val="20"/>
        </w:rPr>
        <w:t xml:space="preserve">ion Centre: Research Forum Evaluation Guidelines 3:  How to evaluate (2010). Available at: </w:t>
      </w:r>
      <w:hyperlink r:id="rId41" w:history="1">
        <w:r>
          <w:rPr>
            <w:rStyle w:val="Hyperlink"/>
            <w:rFonts w:ascii="Verdana" w:hAnsi="Verdana" w:cs="GaramondPremrPro-It"/>
            <w:iCs/>
            <w:sz w:val="20"/>
            <w:szCs w:val="20"/>
          </w:rPr>
          <w:t>http://www.efc.be/programmes_services/re</w:t>
        </w:r>
        <w:r>
          <w:rPr>
            <w:rStyle w:val="Hyperlink"/>
            <w:rFonts w:ascii="Verdana" w:hAnsi="Verdana" w:cs="GaramondPremrPro-It"/>
            <w:iCs/>
            <w:sz w:val="20"/>
            <w:szCs w:val="20"/>
          </w:rPr>
          <w:t>sources/Documents/Research_Evaluation_Guidelines_3_How_to_Evaluate.pdf</w:t>
        </w:r>
      </w:hyperlink>
    </w:p>
    <w:p w:rsidR="0020499E" w:rsidRDefault="008E27E1">
      <w:pPr>
        <w:pStyle w:val="ListParagraph"/>
        <w:widowControl/>
        <w:numPr>
          <w:ilvl w:val="0"/>
          <w:numId w:val="6"/>
        </w:numPr>
        <w:jc w:val="left"/>
        <w:rPr>
          <w:rFonts w:ascii="Verdana" w:hAnsi="Verdana"/>
          <w:sz w:val="20"/>
          <w:szCs w:val="20"/>
        </w:rPr>
      </w:pPr>
      <w:r>
        <w:rPr>
          <w:rFonts w:ascii="Verdana" w:hAnsi="Verdana" w:cs="GaramondPremrPro-Capt"/>
          <w:sz w:val="20"/>
          <w:szCs w:val="20"/>
        </w:rPr>
        <w:t>European Science Foundation</w:t>
      </w:r>
    </w:p>
    <w:p w:rsidR="0020499E" w:rsidRDefault="008E27E1">
      <w:pPr>
        <w:pStyle w:val="ListParagraph"/>
        <w:widowControl/>
        <w:numPr>
          <w:ilvl w:val="1"/>
          <w:numId w:val="6"/>
        </w:numPr>
        <w:ind w:left="1134"/>
        <w:jc w:val="left"/>
        <w:rPr>
          <w:rFonts w:ascii="Verdana" w:hAnsi="Verdana"/>
          <w:sz w:val="20"/>
          <w:szCs w:val="20"/>
        </w:rPr>
      </w:pPr>
      <w:r>
        <w:rPr>
          <w:rFonts w:ascii="Verdana" w:hAnsi="Verdana" w:cs="GaramondPremrPro-Capt"/>
          <w:sz w:val="20"/>
          <w:szCs w:val="20"/>
        </w:rPr>
        <w:t xml:space="preserve"> Ex-post Evaluation in National Research Funding Agencies: A report of the ESF Member Organisation Forum on Ex-Post Evaluation of Funding Schemes and Researc</w:t>
      </w:r>
      <w:r>
        <w:rPr>
          <w:rFonts w:ascii="Verdana" w:hAnsi="Verdana" w:cs="GaramondPremrPro-Capt"/>
          <w:sz w:val="20"/>
          <w:szCs w:val="20"/>
        </w:rPr>
        <w:t xml:space="preserve">h Programmes (2009). Available at: </w:t>
      </w:r>
      <w:hyperlink r:id="rId42" w:history="1">
        <w:r>
          <w:rPr>
            <w:rStyle w:val="Hyperlink"/>
            <w:rFonts w:ascii="Verdana" w:hAnsi="Verdana" w:cs="GaramondPremrPro-It"/>
            <w:iCs/>
            <w:sz w:val="20"/>
            <w:szCs w:val="20"/>
          </w:rPr>
          <w:t>http://www.esf.org/activities/mo-fora/publications.html</w:t>
        </w:r>
      </w:hyperlink>
    </w:p>
    <w:p w:rsidR="0020499E" w:rsidRDefault="008E27E1">
      <w:pPr>
        <w:pStyle w:val="ListParagraph"/>
        <w:widowControl/>
        <w:numPr>
          <w:ilvl w:val="1"/>
          <w:numId w:val="6"/>
        </w:numPr>
        <w:ind w:left="1134"/>
        <w:jc w:val="left"/>
        <w:rPr>
          <w:rFonts w:ascii="Verdana" w:hAnsi="Verdana"/>
          <w:sz w:val="20"/>
          <w:szCs w:val="20"/>
        </w:rPr>
      </w:pPr>
      <w:r>
        <w:rPr>
          <w:rFonts w:ascii="Verdana" w:hAnsi="Verdana" w:cs="GaramondPremrPro-Capt"/>
          <w:sz w:val="20"/>
          <w:szCs w:val="20"/>
        </w:rPr>
        <w:t xml:space="preserve">European Peer Review Guide: Integrating Policies and Practices into Coherent Procedures. A Report by the ESF Member Organisation Forum on Peer Review (2011). Available at: </w:t>
      </w:r>
      <w:hyperlink r:id="rId43" w:history="1">
        <w:r>
          <w:rPr>
            <w:rStyle w:val="Hyperlink"/>
            <w:rFonts w:ascii="Verdana" w:hAnsi="Verdana" w:cs="GaramondPremrPro-It"/>
            <w:iCs/>
            <w:sz w:val="20"/>
            <w:szCs w:val="20"/>
          </w:rPr>
          <w:t>http://www.esf</w:t>
        </w:r>
        <w:r>
          <w:rPr>
            <w:rStyle w:val="Hyperlink"/>
            <w:rFonts w:ascii="Verdana" w:hAnsi="Verdana" w:cs="GaramondPremrPro-It"/>
            <w:iCs/>
            <w:sz w:val="20"/>
            <w:szCs w:val="20"/>
          </w:rPr>
          <w:t>.org/activities/mo-fora/publications.html</w:t>
        </w:r>
      </w:hyperlink>
    </w:p>
    <w:p w:rsidR="0020499E" w:rsidRDefault="008E27E1">
      <w:pPr>
        <w:pStyle w:val="ListParagraph"/>
        <w:widowControl/>
        <w:numPr>
          <w:ilvl w:val="1"/>
          <w:numId w:val="6"/>
        </w:numPr>
        <w:ind w:left="1134"/>
        <w:jc w:val="left"/>
        <w:rPr>
          <w:rFonts w:ascii="Verdana" w:hAnsi="Verdana" w:cs="GaramondPremrPro-It"/>
          <w:iCs/>
          <w:sz w:val="20"/>
          <w:szCs w:val="20"/>
        </w:rPr>
      </w:pPr>
      <w:r>
        <w:rPr>
          <w:rFonts w:ascii="Verdana" w:hAnsi="Verdana" w:cs="GaramondPremrPro-It"/>
          <w:iCs/>
          <w:sz w:val="20"/>
          <w:szCs w:val="20"/>
        </w:rPr>
        <w:t>I</w:t>
      </w:r>
      <w:r>
        <w:rPr>
          <w:rFonts w:ascii="Verdana" w:hAnsi="Verdana" w:cs="GaramondPremrPro-Capt"/>
          <w:sz w:val="20"/>
          <w:szCs w:val="20"/>
        </w:rPr>
        <w:t xml:space="preserve">ndicators of Internationalisation for Research Institutions: a new approach. A report by the ESF Member Organisation Forum on Evaluation: Indicators of Internationalisation (2012). Available at: </w:t>
      </w:r>
      <w:hyperlink r:id="rId44" w:history="1">
        <w:r>
          <w:rPr>
            <w:rStyle w:val="Hyperlink"/>
            <w:rFonts w:ascii="Verdana" w:hAnsi="Verdana" w:cs="GaramondPremrPro-It"/>
            <w:iCs/>
            <w:sz w:val="20"/>
            <w:szCs w:val="20"/>
          </w:rPr>
          <w:t>http://www.esf.org/activities/mo-fora/publications.html</w:t>
        </w:r>
      </w:hyperlink>
    </w:p>
    <w:p w:rsidR="0020499E" w:rsidRDefault="008E27E1">
      <w:pPr>
        <w:pStyle w:val="ListParagraph"/>
        <w:widowControl/>
        <w:numPr>
          <w:ilvl w:val="1"/>
          <w:numId w:val="6"/>
        </w:numPr>
        <w:ind w:left="1134"/>
        <w:jc w:val="left"/>
        <w:rPr>
          <w:rFonts w:ascii="Verdana" w:hAnsi="Verdana" w:cs="GaramondPremrPro-Capt"/>
          <w:sz w:val="20"/>
          <w:szCs w:val="20"/>
        </w:rPr>
      </w:pPr>
      <w:r>
        <w:rPr>
          <w:rFonts w:ascii="Verdana" w:hAnsi="Verdana" w:cs="GaramondPremrPro-Capt"/>
          <w:sz w:val="20"/>
          <w:szCs w:val="20"/>
        </w:rPr>
        <w:t>A Guide to Evaluation Activities in Funding Agencies. A report by the ESF MO Forum on Evaluation of Publicly Funded Research (2012)</w:t>
      </w:r>
    </w:p>
    <w:p w:rsidR="0020499E" w:rsidRDefault="008E27E1">
      <w:pPr>
        <w:pStyle w:val="ListParagraph"/>
        <w:widowControl/>
        <w:numPr>
          <w:ilvl w:val="2"/>
          <w:numId w:val="6"/>
        </w:numPr>
        <w:ind w:left="1560"/>
        <w:jc w:val="left"/>
        <w:rPr>
          <w:rFonts w:ascii="Verdana" w:hAnsi="Verdana" w:cs="GaramondPremrPro-It"/>
          <w:iCs/>
          <w:sz w:val="20"/>
          <w:szCs w:val="20"/>
        </w:rPr>
      </w:pPr>
      <w:r>
        <w:rPr>
          <w:rFonts w:ascii="Verdana" w:hAnsi="Verdana" w:cs="GaramondPremrPro-Capt"/>
          <w:sz w:val="20"/>
          <w:szCs w:val="20"/>
        </w:rPr>
        <w:t>Working Group 1:</w:t>
      </w:r>
      <w:r>
        <w:rPr>
          <w:rFonts w:ascii="Verdana" w:hAnsi="Verdana" w:cs="GaramondPremrPro-Capt"/>
          <w:sz w:val="20"/>
          <w:szCs w:val="20"/>
        </w:rPr>
        <w:t xml:space="preserve"> Quality Assurance and Evaluation Guidelines. Available at: </w:t>
      </w:r>
      <w:hyperlink r:id="rId45" w:history="1">
        <w:r>
          <w:rPr>
            <w:rStyle w:val="Hyperlink"/>
            <w:rFonts w:ascii="Verdana" w:hAnsi="Verdana" w:cs="GaramondPremrPro-It"/>
            <w:iCs/>
            <w:sz w:val="20"/>
            <w:szCs w:val="20"/>
          </w:rPr>
          <w:t>http://www.esf.org/activities/mo-fora/evaluation-of-publicly-funded-research.html</w:t>
        </w:r>
      </w:hyperlink>
    </w:p>
    <w:p w:rsidR="0020499E" w:rsidRDefault="008E27E1">
      <w:pPr>
        <w:pStyle w:val="ListParagraph"/>
        <w:widowControl/>
        <w:numPr>
          <w:ilvl w:val="2"/>
          <w:numId w:val="6"/>
        </w:numPr>
        <w:ind w:left="1560"/>
        <w:jc w:val="left"/>
        <w:rPr>
          <w:rFonts w:ascii="Verdana" w:hAnsi="Verdana" w:cs="GaramondPremrPro-It"/>
          <w:iCs/>
          <w:sz w:val="20"/>
          <w:szCs w:val="20"/>
        </w:rPr>
      </w:pPr>
      <w:r>
        <w:rPr>
          <w:rFonts w:ascii="Verdana" w:hAnsi="Verdana" w:cs="GaramondPremrPro-Capt"/>
          <w:sz w:val="20"/>
          <w:szCs w:val="20"/>
        </w:rPr>
        <w:t>Working Group 2: I</w:t>
      </w:r>
      <w:r>
        <w:rPr>
          <w:rFonts w:ascii="Verdana" w:hAnsi="Verdana" w:cs="GaramondPremrPro-Capt"/>
          <w:sz w:val="20"/>
          <w:szCs w:val="20"/>
        </w:rPr>
        <w:t xml:space="preserve">mpact Assessment. Available at: </w:t>
      </w:r>
      <w:hyperlink r:id="rId46" w:history="1">
        <w:r>
          <w:rPr>
            <w:rStyle w:val="Hyperlink"/>
            <w:rFonts w:ascii="Verdana" w:hAnsi="Verdana" w:cs="GaramondPremrPro-It"/>
            <w:iCs/>
            <w:sz w:val="20"/>
            <w:szCs w:val="20"/>
          </w:rPr>
          <w:t>http://www.esf.org/activities/mo-fora/evaluation-ofpublicly-funded-research.html</w:t>
        </w:r>
      </w:hyperlink>
    </w:p>
    <w:p w:rsidR="0020499E" w:rsidRDefault="008E27E1">
      <w:pPr>
        <w:pStyle w:val="ListParagraph"/>
        <w:widowControl/>
        <w:numPr>
          <w:ilvl w:val="2"/>
          <w:numId w:val="6"/>
        </w:numPr>
        <w:ind w:left="1560"/>
        <w:jc w:val="left"/>
        <w:rPr>
          <w:rStyle w:val="Hyperlink"/>
          <w:rFonts w:ascii="Verdana" w:hAnsi="Verdana" w:cs="GaramondPremrPro-It"/>
          <w:iCs/>
          <w:color w:val="auto"/>
          <w:sz w:val="20"/>
          <w:szCs w:val="20"/>
          <w:u w:val="none"/>
        </w:rPr>
      </w:pPr>
      <w:r>
        <w:rPr>
          <w:rFonts w:ascii="Verdana" w:hAnsi="Verdana" w:cs="GaramondPremrPro-Capt"/>
          <w:sz w:val="20"/>
          <w:szCs w:val="20"/>
        </w:rPr>
        <w:t>Working Group 3: Comparative Research Portfolios</w:t>
      </w:r>
      <w:r>
        <w:rPr>
          <w:rFonts w:ascii="Verdana" w:hAnsi="Verdana" w:cs="GaramondPremrPro-Capt"/>
          <w:sz w:val="20"/>
          <w:szCs w:val="20"/>
        </w:rPr>
        <w:t xml:space="preserve">. Available at: </w:t>
      </w:r>
      <w:hyperlink r:id="rId47" w:history="1">
        <w:r>
          <w:rPr>
            <w:rStyle w:val="Hyperlink"/>
            <w:rFonts w:ascii="Verdana" w:hAnsi="Verdana" w:cs="GaramondPremrPro-It"/>
            <w:iCs/>
            <w:sz w:val="20"/>
            <w:szCs w:val="20"/>
          </w:rPr>
          <w:t>http://www.esf.org/activities/mo-fora/evaluation-ofpublicly-funded-research.html</w:t>
        </w:r>
      </w:hyperlink>
    </w:p>
    <w:p w:rsidR="0020499E" w:rsidRDefault="008E27E1">
      <w:pPr>
        <w:pStyle w:val="ListParagraph"/>
        <w:numPr>
          <w:ilvl w:val="0"/>
          <w:numId w:val="6"/>
        </w:numPr>
        <w:jc w:val="left"/>
        <w:rPr>
          <w:rFonts w:ascii="Verdana" w:hAnsi="Verdana"/>
          <w:sz w:val="20"/>
          <w:szCs w:val="20"/>
        </w:rPr>
      </w:pPr>
      <w:r>
        <w:rPr>
          <w:rFonts w:ascii="Verdana" w:hAnsi="Verdana" w:cs="Times New Roman"/>
          <w:sz w:val="20"/>
          <w:szCs w:val="20"/>
        </w:rPr>
        <w:t xml:space="preserve">Gläser, J., Lange S. et </w:t>
      </w:r>
      <w:r>
        <w:rPr>
          <w:rFonts w:ascii="Verdana" w:hAnsi="Verdana" w:cs="Times New Roman"/>
          <w:i/>
          <w:iCs/>
          <w:sz w:val="20"/>
          <w:szCs w:val="20"/>
        </w:rPr>
        <w:t>al.</w:t>
      </w:r>
      <w:r>
        <w:rPr>
          <w:rFonts w:ascii="Verdana" w:hAnsi="Verdana" w:cs="Times New Roman"/>
          <w:sz w:val="20"/>
          <w:szCs w:val="20"/>
        </w:rPr>
        <w:t xml:space="preserve">, (2010), « Informed Authority? The Limited Use of Research Evaluation Systems for Managerial Control in Universities », </w:t>
      </w:r>
      <w:r>
        <w:rPr>
          <w:rFonts w:ascii="Verdana" w:hAnsi="Verdana" w:cs="Times New Roman"/>
          <w:i/>
          <w:iCs/>
          <w:sz w:val="20"/>
          <w:szCs w:val="20"/>
        </w:rPr>
        <w:t xml:space="preserve">in </w:t>
      </w:r>
      <w:r>
        <w:rPr>
          <w:rFonts w:ascii="Verdana" w:hAnsi="Verdana" w:cs="Times New Roman"/>
          <w:sz w:val="20"/>
          <w:szCs w:val="20"/>
        </w:rPr>
        <w:t>R. WHITLEY J. Gläser Et L. Engwall</w:t>
      </w:r>
      <w:r>
        <w:rPr>
          <w:rFonts w:ascii="Verdana" w:hAnsi="Verdana" w:cs="Times New Roman"/>
          <w:i/>
          <w:iCs/>
          <w:sz w:val="20"/>
          <w:szCs w:val="20"/>
        </w:rPr>
        <w:t>Reconfiguring Knowledge Production : Changing Authority Relations in the Sciences and Their Conseq</w:t>
      </w:r>
      <w:r>
        <w:rPr>
          <w:rFonts w:ascii="Verdana" w:hAnsi="Verdana" w:cs="Times New Roman"/>
          <w:i/>
          <w:iCs/>
          <w:sz w:val="20"/>
          <w:szCs w:val="20"/>
        </w:rPr>
        <w:t>uences for Intellectual Innovation</w:t>
      </w:r>
      <w:r>
        <w:rPr>
          <w:rFonts w:ascii="Verdana" w:hAnsi="Verdana" w:cs="Times New Roman"/>
          <w:sz w:val="20"/>
          <w:szCs w:val="20"/>
        </w:rPr>
        <w:t>, Oxford University Press</w:t>
      </w:r>
    </w:p>
    <w:p w:rsidR="0020499E" w:rsidRDefault="008E27E1">
      <w:pPr>
        <w:pStyle w:val="ListParagraph"/>
        <w:numPr>
          <w:ilvl w:val="0"/>
          <w:numId w:val="6"/>
        </w:numPr>
        <w:jc w:val="left"/>
        <w:rPr>
          <w:rFonts w:ascii="Verdana" w:hAnsi="Verdana"/>
          <w:sz w:val="20"/>
          <w:szCs w:val="20"/>
        </w:rPr>
      </w:pPr>
      <w:r>
        <w:rPr>
          <w:rFonts w:ascii="Verdana" w:hAnsi="Verdana" w:cs="Times New Roman"/>
          <w:sz w:val="20"/>
          <w:szCs w:val="20"/>
        </w:rPr>
        <w:t xml:space="preserve">Guthrie S., </w:t>
      </w:r>
      <w:hyperlink r:id="rId48" w:history="1">
        <w:r>
          <w:rPr>
            <w:rFonts w:ascii="Verdana" w:hAnsi="Verdana"/>
            <w:sz w:val="20"/>
            <w:szCs w:val="20"/>
          </w:rPr>
          <w:t>Wamae</w:t>
        </w:r>
      </w:hyperlink>
      <w:r>
        <w:rPr>
          <w:rFonts w:ascii="Verdana" w:hAnsi="Verdana"/>
          <w:sz w:val="20"/>
          <w:szCs w:val="20"/>
        </w:rPr>
        <w:t xml:space="preserve"> W., </w:t>
      </w:r>
      <w:hyperlink r:id="rId49" w:history="1">
        <w:r>
          <w:rPr>
            <w:rFonts w:ascii="Verdana" w:hAnsi="Verdana"/>
            <w:sz w:val="20"/>
            <w:szCs w:val="20"/>
          </w:rPr>
          <w:t>Diepeveen</w:t>
        </w:r>
      </w:hyperlink>
      <w:r>
        <w:rPr>
          <w:rFonts w:ascii="Verdana" w:hAnsi="Verdana"/>
          <w:sz w:val="20"/>
          <w:szCs w:val="20"/>
        </w:rPr>
        <w:t xml:space="preserve"> S., </w:t>
      </w:r>
      <w:hyperlink r:id="rId50" w:history="1">
        <w:r>
          <w:rPr>
            <w:rFonts w:ascii="Verdana" w:hAnsi="Verdana"/>
            <w:sz w:val="20"/>
            <w:szCs w:val="20"/>
          </w:rPr>
          <w:t>Wooding</w:t>
        </w:r>
      </w:hyperlink>
      <w:r>
        <w:rPr>
          <w:rFonts w:ascii="Verdana" w:hAnsi="Verdana"/>
          <w:sz w:val="20"/>
          <w:szCs w:val="20"/>
        </w:rPr>
        <w:t xml:space="preserve"> S., </w:t>
      </w:r>
      <w:hyperlink r:id="rId51" w:history="1">
        <w:r>
          <w:rPr>
            <w:rFonts w:ascii="Verdana" w:hAnsi="Verdana"/>
            <w:sz w:val="20"/>
            <w:szCs w:val="20"/>
          </w:rPr>
          <w:t>Grant</w:t>
        </w:r>
      </w:hyperlink>
      <w:r>
        <w:rPr>
          <w:rFonts w:ascii="Verdana" w:hAnsi="Verdana"/>
          <w:sz w:val="20"/>
          <w:szCs w:val="20"/>
        </w:rPr>
        <w:t xml:space="preserve"> J (2013),  Measuring research : A guide to research evaluation frameworks and tools. Rand Corporation,</w:t>
      </w:r>
      <w:r>
        <w:rPr>
          <w:rFonts w:ascii="Verdana" w:hAnsi="Verdana"/>
          <w:sz w:val="20"/>
          <w:szCs w:val="20"/>
        </w:rPr>
        <w:t xml:space="preserve"> Available at: http://www.rand.org/pubs/monographs/MG1217.html</w:t>
      </w:r>
    </w:p>
    <w:p w:rsidR="0020499E" w:rsidRDefault="008E27E1">
      <w:pPr>
        <w:pStyle w:val="FootnoteText"/>
        <w:numPr>
          <w:ilvl w:val="0"/>
          <w:numId w:val="6"/>
        </w:numPr>
        <w:rPr>
          <w:rStyle w:val="Hyperlink"/>
          <w:rFonts w:ascii="Verdana" w:hAnsi="Verdana"/>
          <w:color w:val="auto"/>
          <w:u w:val="none"/>
          <w:lang w:val="en-US"/>
        </w:rPr>
      </w:pPr>
      <w:r>
        <w:rPr>
          <w:rFonts w:ascii="Verdana" w:hAnsi="Verdana"/>
          <w:lang w:val="en-US"/>
        </w:rPr>
        <w:t xml:space="preserve">Iowerth, A. (2005), </w:t>
      </w:r>
      <w:r>
        <w:rPr>
          <w:rFonts w:ascii="Verdana" w:hAnsi="Verdana"/>
          <w:i/>
          <w:lang w:val="en-US"/>
        </w:rPr>
        <w:t>Methods of evaluation research around the world</w:t>
      </w:r>
      <w:r>
        <w:rPr>
          <w:rFonts w:ascii="Verdana" w:hAnsi="Verdana"/>
          <w:lang w:val="en-US"/>
        </w:rPr>
        <w:t xml:space="preserve">. Working paper, Canadian Ministry of Finance, Available at: </w:t>
      </w:r>
      <w:r w:rsidR="0020499E" w:rsidRPr="0020499E">
        <w:fldChar w:fldCharType="begin"/>
      </w:r>
      <w:r>
        <w:rPr>
          <w:rFonts w:ascii="Verdana" w:hAnsi="Verdana"/>
          <w:lang w:val="en-US"/>
        </w:rPr>
        <w:instrText xml:space="preserve">"http://fin.gc.ca/pub/pdfs/wp2005-04e.pdf" </w:instrText>
      </w:r>
      <w:r w:rsidR="0020499E" w:rsidRPr="0020499E">
        <w:fldChar w:fldCharType="separate"/>
      </w:r>
      <w:r>
        <w:rPr>
          <w:rStyle w:val="Hyperlink"/>
          <w:rFonts w:ascii="Verdana" w:hAnsi="Verdana"/>
          <w:lang w:val="en-US"/>
        </w:rPr>
        <w:t>http://fin.gc.ca/pub/p</w:t>
      </w:r>
      <w:r>
        <w:rPr>
          <w:rStyle w:val="Hyperlink"/>
          <w:rFonts w:ascii="Verdana" w:hAnsi="Verdana"/>
          <w:lang w:val="en-US"/>
        </w:rPr>
        <w:t>dfs/wp2005-04e.pdf</w:t>
      </w:r>
      <w:r w:rsidR="0020499E">
        <w:rPr>
          <w:rStyle w:val="Hyperlink"/>
          <w:rFonts w:ascii="Verdana" w:hAnsi="Verdana"/>
          <w:lang w:val="en-US"/>
        </w:rPr>
        <w:fldChar w:fldCharType="end"/>
      </w:r>
    </w:p>
    <w:p w:rsidR="0020499E" w:rsidRDefault="008E27E1">
      <w:pPr>
        <w:pStyle w:val="FootnoteText"/>
        <w:numPr>
          <w:ilvl w:val="0"/>
          <w:numId w:val="6"/>
        </w:numPr>
        <w:rPr>
          <w:rFonts w:ascii="Verdana" w:hAnsi="Verdana"/>
          <w:lang w:val="en-US"/>
        </w:rPr>
      </w:pPr>
      <w:r>
        <w:rPr>
          <w:rFonts w:ascii="Verdana" w:hAnsi="Verdana"/>
          <w:lang w:val="en-US"/>
        </w:rPr>
        <w:t>KhlevovitsD..Saluveer M., (2007), Georgian Report and Development Policy Assessment, EU Funded Project.</w:t>
      </w:r>
    </w:p>
    <w:p w:rsidR="0020499E" w:rsidRDefault="008E27E1">
      <w:pPr>
        <w:pStyle w:val="ListParagraph"/>
        <w:widowControl/>
        <w:numPr>
          <w:ilvl w:val="0"/>
          <w:numId w:val="6"/>
        </w:numPr>
        <w:jc w:val="left"/>
        <w:rPr>
          <w:rFonts w:ascii="Verdana" w:hAnsi="Verdana" w:cs="GaramondPremrPro-It"/>
          <w:iCs/>
          <w:sz w:val="20"/>
          <w:szCs w:val="20"/>
        </w:rPr>
      </w:pPr>
      <w:r>
        <w:rPr>
          <w:rFonts w:ascii="Verdana" w:hAnsi="Verdana" w:cs="Times-Bold"/>
          <w:bCs/>
          <w:sz w:val="20"/>
          <w:szCs w:val="20"/>
        </w:rPr>
        <w:t xml:space="preserve">Knowledge-Based Estonia: </w:t>
      </w:r>
      <w:r>
        <w:rPr>
          <w:rFonts w:ascii="Verdana" w:hAnsi="Verdana" w:cs="Times-Roman"/>
          <w:sz w:val="20"/>
          <w:szCs w:val="20"/>
        </w:rPr>
        <w:t xml:space="preserve">Estonian Research and Development and Innovation Strategy, 2007-2013 (2009) Available at: </w:t>
      </w:r>
      <w:hyperlink r:id="rId52" w:history="1">
        <w:r>
          <w:rPr>
            <w:rStyle w:val="Hyperlink"/>
            <w:rFonts w:ascii="Verdana" w:hAnsi="Verdana" w:cs="Times-Roman"/>
            <w:sz w:val="20"/>
            <w:szCs w:val="20"/>
          </w:rPr>
          <w:t>http://www.google.fr/url</w:t>
        </w:r>
        <w:r>
          <w:rPr>
            <w:rStyle w:val="Hyperlink"/>
            <w:rFonts w:ascii="Verdana" w:hAnsi="Verdana" w:cs="Times-Roman"/>
            <w:sz w:val="20"/>
            <w:szCs w:val="20"/>
          </w:rPr>
          <w:t>?sa=t&amp;rct=j&amp;q=&amp;esrc=s&amp;source=web&amp;cd=1&amp;ved=0CDMQFjAA&amp;url=http%3A%2F%2Fwww.hm.ee%2Findex.php%3Fpopup%3Ddownload%26id%3D617</w:t>
        </w:r>
        <w:r>
          <w:rPr>
            <w:rStyle w:val="Hyperlink"/>
            <w:rFonts w:ascii="Verdana" w:hAnsi="Verdana" w:cs="Times-Roman"/>
            <w:sz w:val="20"/>
            <w:szCs w:val="20"/>
          </w:rPr>
          <w:lastRenderedPageBreak/>
          <w:t>5&amp;ei=O2ddU5vbIseyyAOdloC4Bw&amp;usg=AFQjCNEZs5iWSlTW1WjSo5PFAbjsMXNf5A&amp;bvm=bv.65397613,d.Yms</w:t>
        </w:r>
      </w:hyperlink>
    </w:p>
    <w:p w:rsidR="0020499E" w:rsidRDefault="008E27E1">
      <w:pPr>
        <w:pStyle w:val="ListParagraph"/>
        <w:numPr>
          <w:ilvl w:val="0"/>
          <w:numId w:val="9"/>
        </w:numPr>
        <w:jc w:val="left"/>
        <w:rPr>
          <w:rFonts w:ascii="Verdana" w:hAnsi="Verdana"/>
          <w:sz w:val="20"/>
          <w:szCs w:val="20"/>
          <w:lang w:val="fr-FR"/>
        </w:rPr>
      </w:pPr>
      <w:r>
        <w:rPr>
          <w:rFonts w:ascii="Verdana" w:hAnsi="Verdana" w:cs="Times New Roman"/>
          <w:sz w:val="20"/>
          <w:szCs w:val="20"/>
          <w:lang w:val="fr-FR"/>
        </w:rPr>
        <w:t xml:space="preserve">Louvel, S. &amp; Lange, S. (2010). L'évaluation de </w:t>
      </w:r>
      <w:r>
        <w:rPr>
          <w:rFonts w:ascii="Verdana" w:hAnsi="Verdana" w:cs="Times New Roman"/>
          <w:sz w:val="20"/>
          <w:szCs w:val="20"/>
          <w:lang w:val="fr-FR"/>
        </w:rPr>
        <w:t xml:space="preserve">la recherche : l'exemple de trois pays européens. </w:t>
      </w:r>
      <w:r>
        <w:rPr>
          <w:rFonts w:ascii="Verdana" w:hAnsi="Verdana" w:cs="Times New Roman"/>
          <w:i/>
          <w:iCs/>
          <w:sz w:val="20"/>
          <w:szCs w:val="20"/>
          <w:lang w:val="fr-FR"/>
        </w:rPr>
        <w:t xml:space="preserve">Sciences de la société, </w:t>
      </w:r>
      <w:r>
        <w:rPr>
          <w:rFonts w:ascii="Verdana" w:hAnsi="Verdana" w:cs="Times New Roman"/>
          <w:sz w:val="20"/>
          <w:szCs w:val="20"/>
          <w:lang w:val="fr-FR"/>
        </w:rPr>
        <w:t xml:space="preserve">volume 79, pp. 11-26. Available at: </w:t>
      </w:r>
      <w:hyperlink r:id="rId53" w:history="1">
        <w:r>
          <w:rPr>
            <w:rStyle w:val="Hyperlink"/>
            <w:rFonts w:ascii="Verdana" w:hAnsi="Verdana" w:cs="Times New Roman"/>
            <w:sz w:val="20"/>
            <w:szCs w:val="20"/>
            <w:lang w:val="fr-FR"/>
          </w:rPr>
          <w:t>http://halshs.archives-ouvertes.fr/docs/00/57/63/69/PDF/Louvel_Lange_Sciences_de_la_societe_2010.pdf</w:t>
        </w:r>
      </w:hyperlink>
    </w:p>
    <w:p w:rsidR="0020499E" w:rsidRDefault="008E27E1">
      <w:pPr>
        <w:pStyle w:val="ListParagraph"/>
        <w:numPr>
          <w:ilvl w:val="0"/>
          <w:numId w:val="9"/>
        </w:numPr>
        <w:jc w:val="left"/>
        <w:rPr>
          <w:rFonts w:ascii="Verdana" w:hAnsi="Verdana" w:cs="AdvPTimesB"/>
          <w:sz w:val="20"/>
          <w:szCs w:val="20"/>
        </w:rPr>
      </w:pPr>
      <w:r>
        <w:rPr>
          <w:rFonts w:ascii="Verdana" w:hAnsi="Verdana"/>
          <w:sz w:val="20"/>
          <w:szCs w:val="20"/>
        </w:rPr>
        <w:t xml:space="preserve">Matcharashvili, T., </w:t>
      </w:r>
      <w:r>
        <w:rPr>
          <w:rFonts w:ascii="Verdana" w:hAnsi="Verdana"/>
          <w:color w:val="000000"/>
          <w:sz w:val="20"/>
          <w:szCs w:val="20"/>
        </w:rPr>
        <w:t>Tsveraidze</w:t>
      </w:r>
      <w:r>
        <w:rPr>
          <w:rFonts w:ascii="Verdana" w:hAnsi="Verdana"/>
          <w:color w:val="000000"/>
          <w:sz w:val="20"/>
          <w:szCs w:val="20"/>
          <w:lang w:val="ka-GE"/>
        </w:rPr>
        <w:t xml:space="preserve">, </w:t>
      </w:r>
      <w:r>
        <w:rPr>
          <w:rFonts w:ascii="Verdana" w:hAnsi="Verdana"/>
          <w:color w:val="000000"/>
          <w:sz w:val="20"/>
          <w:szCs w:val="20"/>
        </w:rPr>
        <w:t xml:space="preserve">Z., </w:t>
      </w:r>
      <w:r>
        <w:rPr>
          <w:rFonts w:ascii="Verdana" w:hAnsi="Verdana"/>
          <w:sz w:val="20"/>
          <w:szCs w:val="20"/>
        </w:rPr>
        <w:t>Sborshchikovi, Z. (2013)</w:t>
      </w:r>
      <w:r>
        <w:rPr>
          <w:rFonts w:ascii="Verdana" w:hAnsi="Verdana"/>
          <w:bCs/>
          <w:sz w:val="20"/>
          <w:szCs w:val="20"/>
        </w:rPr>
        <w:t xml:space="preserve">Importance of bibliometric indicators for the analysis of the research performancein Georgia – </w:t>
      </w:r>
      <w:r>
        <w:rPr>
          <w:rFonts w:ascii="Verdana" w:hAnsi="Verdana"/>
          <w:bCs/>
          <w:sz w:val="20"/>
          <w:szCs w:val="20"/>
        </w:rPr>
        <w:t xml:space="preserve">Working paper </w:t>
      </w:r>
    </w:p>
    <w:p w:rsidR="0020499E" w:rsidRDefault="008E27E1">
      <w:pPr>
        <w:pStyle w:val="ListParagraph"/>
        <w:numPr>
          <w:ilvl w:val="0"/>
          <w:numId w:val="9"/>
        </w:numPr>
        <w:jc w:val="left"/>
        <w:rPr>
          <w:rFonts w:ascii="Verdana" w:hAnsi="Verdana"/>
          <w:sz w:val="20"/>
          <w:szCs w:val="20"/>
          <w:lang w:val="fr-FR"/>
        </w:rPr>
      </w:pPr>
      <w:r>
        <w:rPr>
          <w:rFonts w:ascii="Verdana" w:hAnsi="Verdana" w:cs="Times New Roman"/>
          <w:sz w:val="20"/>
          <w:szCs w:val="20"/>
          <w:lang w:val="fr-FR"/>
        </w:rPr>
        <w:t xml:space="preserve">Rostaing H. (1996), </w:t>
      </w:r>
      <w:r>
        <w:rPr>
          <w:rFonts w:ascii="Verdana" w:hAnsi="Verdana" w:cs="Times New Roman"/>
          <w:i/>
          <w:iCs/>
          <w:sz w:val="20"/>
          <w:szCs w:val="20"/>
          <w:lang w:val="fr-FR"/>
        </w:rPr>
        <w:t>La bibliométrie et ses techniques</w:t>
      </w:r>
      <w:r>
        <w:rPr>
          <w:rFonts w:ascii="Verdana" w:hAnsi="Verdana" w:cs="Times New Roman"/>
          <w:sz w:val="20"/>
          <w:szCs w:val="20"/>
          <w:lang w:val="fr-FR"/>
        </w:rPr>
        <w:t xml:space="preserve">, Collection Sciences de la société, Co-édition: Sciences de la société (Toulouse) et Centre de recherche rétrospective de Marseille (Marseille). </w:t>
      </w:r>
    </w:p>
    <w:p w:rsidR="0020499E" w:rsidRDefault="008E27E1">
      <w:pPr>
        <w:pStyle w:val="ListParagraph"/>
        <w:numPr>
          <w:ilvl w:val="0"/>
          <w:numId w:val="9"/>
        </w:numPr>
        <w:jc w:val="left"/>
        <w:rPr>
          <w:rFonts w:ascii="Verdana" w:hAnsi="Verdana"/>
          <w:sz w:val="20"/>
          <w:szCs w:val="20"/>
          <w:lang w:val="fr-FR"/>
        </w:rPr>
      </w:pPr>
      <w:r>
        <w:rPr>
          <w:rFonts w:ascii="Verdana" w:hAnsi="Verdana" w:cs="Times New Roman"/>
          <w:sz w:val="20"/>
          <w:szCs w:val="20"/>
        </w:rPr>
        <w:t>Sivertsen, Gunnar (2009) Publication patt</w:t>
      </w:r>
      <w:r>
        <w:rPr>
          <w:rFonts w:ascii="Verdana" w:hAnsi="Verdana" w:cs="Times New Roman"/>
          <w:sz w:val="20"/>
          <w:szCs w:val="20"/>
        </w:rPr>
        <w:t xml:space="preserve">erns in all fields. In Åström, Fredrik; Danell, Rickard; Larsen, Birger&amp;Wiborg-Schneider, Jesper (eds.) </w:t>
      </w:r>
      <w:r>
        <w:rPr>
          <w:rFonts w:ascii="Verdana" w:hAnsi="Verdana" w:cs="Times New Roman"/>
          <w:i/>
          <w:iCs/>
          <w:sz w:val="20"/>
          <w:szCs w:val="20"/>
        </w:rPr>
        <w:t>Celebrating Scholarly Communication Studies. A Festschrift for OllePersson at his 60</w:t>
      </w:r>
      <w:r>
        <w:rPr>
          <w:rFonts w:ascii="Verdana" w:hAnsi="Verdana" w:cs="Times New Roman"/>
          <w:i/>
          <w:iCs/>
          <w:sz w:val="20"/>
          <w:szCs w:val="20"/>
          <w:vertAlign w:val="superscript"/>
        </w:rPr>
        <w:t>th</w:t>
      </w:r>
      <w:r>
        <w:rPr>
          <w:rFonts w:ascii="Verdana" w:hAnsi="Verdana" w:cs="Times New Roman"/>
          <w:i/>
          <w:iCs/>
          <w:sz w:val="20"/>
          <w:szCs w:val="20"/>
        </w:rPr>
        <w:t xml:space="preserve"> Birthday</w:t>
      </w:r>
      <w:r>
        <w:rPr>
          <w:rFonts w:ascii="Verdana" w:hAnsi="Verdana" w:cs="Times New Roman"/>
          <w:sz w:val="20"/>
          <w:szCs w:val="20"/>
        </w:rPr>
        <w:t>. Special volume of the e-newsletter of the international</w:t>
      </w:r>
      <w:r>
        <w:rPr>
          <w:rFonts w:ascii="Verdana" w:hAnsi="Verdana" w:cs="Times New Roman"/>
          <w:sz w:val="20"/>
          <w:szCs w:val="20"/>
        </w:rPr>
        <w:t xml:space="preserve"> society for scientometrics and informetrics. Vol. 05-S </w:t>
      </w:r>
      <w:r>
        <w:rPr>
          <w:rFonts w:ascii="Verdana" w:hAnsi="Verdana"/>
          <w:sz w:val="20"/>
          <w:szCs w:val="20"/>
        </w:rPr>
        <w:t>June 2009:55-60.</w:t>
      </w:r>
    </w:p>
    <w:p w:rsidR="0020499E" w:rsidRDefault="008E27E1">
      <w:pPr>
        <w:pStyle w:val="Default"/>
        <w:numPr>
          <w:ilvl w:val="0"/>
          <w:numId w:val="9"/>
        </w:numPr>
        <w:rPr>
          <w:rFonts w:ascii="Verdana" w:hAnsi="Verdana" w:cs="Times New Roman"/>
          <w:color w:val="auto"/>
          <w:sz w:val="20"/>
          <w:szCs w:val="20"/>
          <w:lang w:val="en-GB"/>
        </w:rPr>
      </w:pPr>
      <w:r>
        <w:rPr>
          <w:rFonts w:ascii="Verdana" w:hAnsi="Verdana" w:cs="Times New Roman"/>
          <w:color w:val="auto"/>
          <w:sz w:val="20"/>
          <w:szCs w:val="20"/>
          <w:lang w:val="en-GB"/>
        </w:rPr>
        <w:t xml:space="preserve">Thelwall, M. (2007).  </w:t>
      </w:r>
      <w:r>
        <w:rPr>
          <w:rFonts w:ascii="Verdana" w:hAnsi="Verdana" w:cs="Times New Roman"/>
          <w:i/>
          <w:color w:val="auto"/>
          <w:sz w:val="20"/>
          <w:szCs w:val="20"/>
          <w:lang w:val="en-GB"/>
        </w:rPr>
        <w:t>Bibliometrics to Webometrics.</w:t>
      </w:r>
      <w:r>
        <w:rPr>
          <w:rFonts w:ascii="Verdana" w:hAnsi="Verdana" w:cs="Times New Roman"/>
          <w:color w:val="auto"/>
          <w:sz w:val="20"/>
          <w:szCs w:val="20"/>
          <w:lang w:val="en-GB"/>
        </w:rPr>
        <w:t xml:space="preserve"> Journal of Information Science, 34 (4); </w:t>
      </w:r>
      <w:hyperlink r:id="rId54" w:history="1">
        <w:r>
          <w:rPr>
            <w:rStyle w:val="Hyperlink"/>
            <w:rFonts w:ascii="Verdana" w:hAnsi="Verdana" w:cs="Times New Roman"/>
            <w:sz w:val="20"/>
            <w:szCs w:val="20"/>
          </w:rPr>
          <w:t>http://www.scit.wlv.ac.uk/~cm1993/papers/JIS-0642-v4-Bibliometrics-to-Webometrics.pdf</w:t>
        </w:r>
      </w:hyperlink>
      <w:r>
        <w:rPr>
          <w:rFonts w:ascii="Verdana" w:hAnsi="Verdana" w:cs="Times New Roman"/>
          <w:sz w:val="20"/>
          <w:szCs w:val="20"/>
        </w:rPr>
        <w:t xml:space="preserve">. </w:t>
      </w:r>
    </w:p>
    <w:p w:rsidR="0020499E" w:rsidRDefault="008E27E1">
      <w:pPr>
        <w:pStyle w:val="Default"/>
        <w:numPr>
          <w:ilvl w:val="0"/>
          <w:numId w:val="9"/>
        </w:numPr>
        <w:rPr>
          <w:rFonts w:ascii="Verdana" w:hAnsi="Verdana" w:cs="Times New Roman"/>
          <w:color w:val="auto"/>
          <w:sz w:val="20"/>
          <w:szCs w:val="20"/>
          <w:lang w:val="en-GB"/>
        </w:rPr>
      </w:pPr>
      <w:r>
        <w:rPr>
          <w:rFonts w:ascii="Verdana" w:hAnsi="Verdana" w:cs="Times New Roman"/>
          <w:sz w:val="20"/>
          <w:szCs w:val="20"/>
          <w:lang w:val="en-GB"/>
        </w:rPr>
        <w:t>Thomson Reuters. 2008. Whitepaper Using Bibliometrics : A guide to eva</w:t>
      </w:r>
      <w:r>
        <w:rPr>
          <w:rFonts w:ascii="Verdana" w:hAnsi="Verdana" w:cs="Times New Roman"/>
          <w:sz w:val="20"/>
          <w:szCs w:val="20"/>
          <w:lang w:val="en-GB"/>
        </w:rPr>
        <w:t xml:space="preserve">luating research performance with citation data.  </w:t>
      </w:r>
      <w:hyperlink r:id="rId55" w:history="1">
        <w:r>
          <w:rPr>
            <w:rStyle w:val="Hyperlink"/>
            <w:rFonts w:ascii="Verdana" w:hAnsi="Verdana" w:cs="Times New Roman"/>
            <w:sz w:val="20"/>
            <w:szCs w:val="20"/>
          </w:rPr>
          <w:t>http://thomsonreuters.com/products/ip-science/04_030/</w:t>
        </w:r>
        <w:r>
          <w:rPr>
            <w:rStyle w:val="Hyperlink"/>
            <w:rFonts w:ascii="Verdana" w:hAnsi="Verdana" w:cs="Times New Roman"/>
            <w:sz w:val="20"/>
            <w:szCs w:val="20"/>
          </w:rPr>
          <w:t>using-bibliometrics-a-guide-to-evaluating-research-performance-with-citation-data.pdf</w:t>
        </w:r>
      </w:hyperlink>
      <w:r>
        <w:rPr>
          <w:rFonts w:ascii="Verdana" w:hAnsi="Verdana" w:cs="Times New Roman"/>
          <w:sz w:val="20"/>
          <w:szCs w:val="20"/>
        </w:rPr>
        <w:t xml:space="preserve"> . </w:t>
      </w:r>
      <w:r>
        <w:rPr>
          <w:rFonts w:ascii="Verdana" w:hAnsi="Verdana" w:cs="Times New Roman"/>
          <w:sz w:val="20"/>
          <w:szCs w:val="20"/>
          <w:lang w:val="en-US"/>
        </w:rPr>
        <w:t xml:space="preserve">Accessed 1 August, 2013. </w:t>
      </w:r>
    </w:p>
    <w:p w:rsidR="0020499E" w:rsidRDefault="008E27E1">
      <w:pPr>
        <w:pStyle w:val="ListParagraph"/>
        <w:numPr>
          <w:ilvl w:val="0"/>
          <w:numId w:val="9"/>
        </w:numPr>
        <w:jc w:val="left"/>
        <w:rPr>
          <w:rFonts w:ascii="Verdana" w:hAnsi="Verdana"/>
          <w:sz w:val="20"/>
          <w:szCs w:val="20"/>
          <w:lang w:val="en-GB"/>
        </w:rPr>
      </w:pPr>
      <w:r>
        <w:rPr>
          <w:rFonts w:ascii="Verdana" w:hAnsi="Verdana"/>
          <w:sz w:val="20"/>
          <w:szCs w:val="20"/>
          <w:lang w:val="en-GB"/>
        </w:rPr>
        <w:t>Waltman,L. and Jan van Eck, N. (2012). Source normalized indicators of citation impact: An overview of different approaches and an empirical c</w:t>
      </w:r>
      <w:r>
        <w:rPr>
          <w:rFonts w:ascii="Verdana" w:hAnsi="Verdana"/>
          <w:sz w:val="20"/>
          <w:szCs w:val="20"/>
          <w:lang w:val="en-GB"/>
        </w:rPr>
        <w:t xml:space="preserve">omparison. Centre for Science and Technology Studies (CWTS) working paper series. </w:t>
      </w:r>
      <w:hyperlink r:id="rId56" w:history="1">
        <w:r>
          <w:rPr>
            <w:rStyle w:val="Hyperlink"/>
            <w:rFonts w:ascii="Verdana" w:hAnsi="Verdana"/>
            <w:sz w:val="20"/>
            <w:szCs w:val="20"/>
          </w:rPr>
          <w:t>http://arxiv.org/ftp/arxiv/papers/1208/1208.6122.pdf</w:t>
        </w:r>
      </w:hyperlink>
      <w:r>
        <w:rPr>
          <w:rFonts w:ascii="Verdana" w:hAnsi="Verdana"/>
          <w:sz w:val="20"/>
          <w:szCs w:val="20"/>
        </w:rPr>
        <w:t>. Accessed 28 July, 2013.</w:t>
      </w:r>
    </w:p>
    <w:p w:rsidR="0020499E" w:rsidRDefault="008E27E1">
      <w:pPr>
        <w:pStyle w:val="ListParagraph"/>
        <w:numPr>
          <w:ilvl w:val="0"/>
          <w:numId w:val="9"/>
        </w:numPr>
        <w:rPr>
          <w:rFonts w:ascii="Verdana" w:hAnsi="Verdana"/>
          <w:sz w:val="20"/>
          <w:szCs w:val="20"/>
        </w:rPr>
      </w:pPr>
      <w:r>
        <w:rPr>
          <w:rFonts w:ascii="Verdana" w:hAnsi="Verdana" w:cs="Times New Roman"/>
          <w:bCs/>
          <w:iCs/>
          <w:sz w:val="20"/>
          <w:szCs w:val="20"/>
        </w:rPr>
        <w:t>Zedania</w:t>
      </w:r>
      <w:r>
        <w:rPr>
          <w:rFonts w:ascii="Verdana" w:hAnsi="Verdana" w:cs="Times New Roman"/>
          <w:bCs/>
          <w:sz w:val="20"/>
          <w:szCs w:val="20"/>
        </w:rPr>
        <w:t xml:space="preserve"> G. et al. (2009) An Assessment of Research Capacities in The Social Sciences and Humanities in Georgia, </w:t>
      </w:r>
      <w:r>
        <w:rPr>
          <w:rFonts w:ascii="Verdana" w:hAnsi="Verdana" w:cs="Times New Roman"/>
          <w:bCs/>
          <w:iCs/>
          <w:sz w:val="20"/>
          <w:szCs w:val="20"/>
        </w:rPr>
        <w:t>Report to the Academic Swiss Caucasus Net (ASCN)</w:t>
      </w:r>
      <w:r>
        <w:rPr>
          <w:rFonts w:ascii="Verdana" w:hAnsi="Verdana"/>
          <w:sz w:val="20"/>
          <w:szCs w:val="20"/>
        </w:rPr>
        <w:t>.</w:t>
      </w:r>
    </w:p>
    <w:p w:rsidR="0020499E" w:rsidRDefault="0020499E">
      <w:pPr>
        <w:ind w:left="360"/>
        <w:jc w:val="left"/>
        <w:rPr>
          <w:lang w:val="en-GB"/>
        </w:rPr>
      </w:pPr>
    </w:p>
    <w:p w:rsidR="0020499E" w:rsidRDefault="008E27E1">
      <w:pPr>
        <w:autoSpaceDE/>
        <w:autoSpaceDN/>
        <w:adjustRightInd/>
        <w:jc w:val="left"/>
      </w:pPr>
      <w:r>
        <w:br w:type="page"/>
      </w:r>
    </w:p>
    <w:p w:rsidR="0020499E" w:rsidRDefault="008E27E1">
      <w:pPr>
        <w:pStyle w:val="Heading1"/>
        <w:numPr>
          <w:ilvl w:val="0"/>
          <w:numId w:val="0"/>
        </w:numPr>
        <w:ind w:left="360" w:hanging="360"/>
      </w:pPr>
      <w:bookmarkStart w:id="50" w:name="_Toc389396937"/>
      <w:r>
        <w:lastRenderedPageBreak/>
        <w:t>APPENDIX</w:t>
      </w:r>
      <w:bookmarkEnd w:id="50"/>
    </w:p>
    <w:p w:rsidR="0020499E" w:rsidRDefault="0020499E"/>
    <w:p w:rsidR="0020499E" w:rsidRDefault="008E27E1">
      <w:pPr>
        <w:autoSpaceDE/>
        <w:autoSpaceDN/>
        <w:adjustRightInd/>
        <w:jc w:val="left"/>
        <w:rPr>
          <w:b/>
          <w:sz w:val="28"/>
          <w:szCs w:val="28"/>
        </w:rPr>
      </w:pPr>
      <w:r>
        <w:br w:type="page"/>
      </w:r>
    </w:p>
    <w:p w:rsidR="0020499E" w:rsidRDefault="008E27E1">
      <w:pPr>
        <w:pStyle w:val="Heading2"/>
      </w:pPr>
      <w:bookmarkStart w:id="51" w:name="_Toc389396938"/>
      <w:r>
        <w:lastRenderedPageBreak/>
        <w:t>Annex 1: List of institutions visited</w:t>
      </w:r>
      <w:bookmarkEnd w:id="51"/>
    </w:p>
    <w:p w:rsidR="0020499E" w:rsidRDefault="0020499E">
      <w:pPr>
        <w:autoSpaceDE/>
        <w:autoSpaceDN/>
        <w:adjustRightInd/>
        <w:jc w:val="left"/>
        <w:rPr>
          <w:b/>
          <w:sz w:val="24"/>
          <w:szCs w:val="24"/>
        </w:rPr>
      </w:pPr>
    </w:p>
    <w:p w:rsidR="0020499E" w:rsidRDefault="0020499E">
      <w:pPr>
        <w:rPr>
          <w:b/>
          <w:sz w:val="24"/>
          <w:lang w:val="en-GB"/>
        </w:rPr>
      </w:pPr>
    </w:p>
    <w:p w:rsidR="0020499E" w:rsidRDefault="0020499E">
      <w:pPr>
        <w:rPr>
          <w:b/>
          <w:sz w:val="24"/>
          <w:lang w:val="en-GB"/>
        </w:rPr>
      </w:pPr>
    </w:p>
    <w:p w:rsidR="0020499E" w:rsidRDefault="008E27E1">
      <w:pPr>
        <w:rPr>
          <w:b/>
          <w:sz w:val="24"/>
          <w:lang w:val="en-GB"/>
        </w:rPr>
      </w:pPr>
      <w:r>
        <w:rPr>
          <w:b/>
          <w:sz w:val="24"/>
          <w:lang w:val="en-GB"/>
        </w:rPr>
        <w:t xml:space="preserve">1. Higher Education Institutions (interviews </w:t>
      </w:r>
      <w:r>
        <w:rPr>
          <w:b/>
          <w:sz w:val="24"/>
          <w:lang w:val="en-GB"/>
        </w:rPr>
        <w:t>with Heads / Rectors)</w:t>
      </w:r>
    </w:p>
    <w:p w:rsidR="0020499E" w:rsidRDefault="0020499E">
      <w:pPr>
        <w:rPr>
          <w:rFonts w:cs="Arial"/>
          <w:lang w:val="en-GB"/>
        </w:rPr>
      </w:pPr>
    </w:p>
    <w:p w:rsidR="0020499E" w:rsidRDefault="008E27E1">
      <w:pPr>
        <w:numPr>
          <w:ilvl w:val="0"/>
          <w:numId w:val="43"/>
        </w:numPr>
        <w:jc w:val="left"/>
        <w:rPr>
          <w:rFonts w:cs="Arial"/>
          <w:b/>
          <w:lang w:val="en-GB"/>
        </w:rPr>
      </w:pPr>
      <w:r>
        <w:rPr>
          <w:rFonts w:cs="Arial"/>
          <w:b/>
          <w:lang w:val="en-GB"/>
        </w:rPr>
        <w:t>Public universities</w:t>
      </w:r>
    </w:p>
    <w:p w:rsidR="0020499E" w:rsidRDefault="008E27E1">
      <w:pPr>
        <w:numPr>
          <w:ilvl w:val="1"/>
          <w:numId w:val="43"/>
        </w:numPr>
        <w:jc w:val="left"/>
        <w:rPr>
          <w:rFonts w:cs="Arial"/>
          <w:lang w:val="en-GB"/>
        </w:rPr>
      </w:pPr>
      <w:r>
        <w:rPr>
          <w:rFonts w:cs="Arial"/>
          <w:lang w:val="en-GB"/>
        </w:rPr>
        <w:t xml:space="preserve">Georgian </w:t>
      </w:r>
      <w:smartTag w:uri="urn:schemas-microsoft-com:office:smarttags" w:element="PlaceName">
        <w:r>
          <w:rPr>
            <w:rFonts w:cs="Arial"/>
            <w:lang w:val="en-GB"/>
          </w:rPr>
          <w:t>Technical</w:t>
        </w:r>
      </w:smartTag>
      <w:smartTag w:uri="urn:schemas-microsoft-com:office:smarttags" w:element="PlaceType">
        <w:r>
          <w:rPr>
            <w:rFonts w:cs="Arial"/>
            <w:lang w:val="en-GB"/>
          </w:rPr>
          <w:t>University</w:t>
        </w:r>
      </w:smartTag>
    </w:p>
    <w:p w:rsidR="0020499E" w:rsidRDefault="008E27E1">
      <w:pPr>
        <w:numPr>
          <w:ilvl w:val="1"/>
          <w:numId w:val="43"/>
        </w:numPr>
        <w:jc w:val="left"/>
        <w:rPr>
          <w:rFonts w:cs="Arial"/>
          <w:lang w:val="en-GB"/>
        </w:rPr>
      </w:pPr>
      <w:smartTag w:uri="urn:schemas-microsoft-com:office:smarttags" w:element="place">
        <w:smartTag w:uri="urn:schemas-microsoft-com:office:smarttags" w:element="PlaceName">
          <w:r>
            <w:rPr>
              <w:rFonts w:cs="Arial"/>
              <w:lang w:val="en-GB"/>
            </w:rPr>
            <w:t>Ivane</w:t>
          </w:r>
        </w:smartTag>
        <w:smartTag w:uri="urn:schemas-microsoft-com:office:smarttags" w:element="PlaceName">
          <w:r>
            <w:rPr>
              <w:rFonts w:cs="Arial"/>
              <w:lang w:val="en-GB"/>
            </w:rPr>
            <w:t>Javakhishvili</w:t>
          </w:r>
        </w:smartTag>
        <w:smartTag w:uri="urn:schemas-microsoft-com:office:smarttags" w:element="PlaceType">
          <w:r>
            <w:rPr>
              <w:rFonts w:cs="Arial"/>
              <w:lang w:val="en-GB"/>
            </w:rPr>
            <w:t>State</w:t>
          </w:r>
        </w:smartTag>
        <w:smartTag w:uri="urn:schemas-microsoft-com:office:smarttags" w:element="PlaceType">
          <w:r>
            <w:rPr>
              <w:rFonts w:cs="Arial"/>
              <w:lang w:val="en-GB"/>
            </w:rPr>
            <w:t>University</w:t>
          </w:r>
        </w:smartTag>
      </w:smartTag>
    </w:p>
    <w:p w:rsidR="0020499E" w:rsidRDefault="008E27E1">
      <w:pPr>
        <w:numPr>
          <w:ilvl w:val="1"/>
          <w:numId w:val="43"/>
        </w:numPr>
        <w:jc w:val="left"/>
        <w:rPr>
          <w:rFonts w:cs="Arial"/>
          <w:lang w:val="en-GB"/>
        </w:rPr>
      </w:pPr>
      <w:smartTag w:uri="urn:schemas-microsoft-com:office:smarttags" w:element="place">
        <w:smartTag w:uri="urn:schemas-microsoft-com:office:smarttags" w:element="PlaceName">
          <w:r>
            <w:rPr>
              <w:rFonts w:cs="Arial"/>
              <w:lang w:val="en-GB"/>
            </w:rPr>
            <w:t>Ilia</w:t>
          </w:r>
        </w:smartTag>
        <w:smartTag w:uri="urn:schemas-microsoft-com:office:smarttags" w:element="PlaceType">
          <w:r>
            <w:rPr>
              <w:rFonts w:cs="Arial"/>
              <w:lang w:val="en-GB"/>
            </w:rPr>
            <w:t>State</w:t>
          </w:r>
        </w:smartTag>
      </w:smartTag>
      <w:r>
        <w:rPr>
          <w:rFonts w:cs="Arial"/>
          <w:lang w:val="en-GB"/>
        </w:rPr>
        <w:t xml:space="preserve"> university</w:t>
      </w:r>
    </w:p>
    <w:p w:rsidR="0020499E" w:rsidRDefault="0020499E">
      <w:pPr>
        <w:ind w:left="360"/>
        <w:rPr>
          <w:rFonts w:cs="Arial"/>
          <w:lang w:val="en-GB"/>
        </w:rPr>
      </w:pPr>
    </w:p>
    <w:p w:rsidR="0020499E" w:rsidRDefault="008E27E1">
      <w:pPr>
        <w:numPr>
          <w:ilvl w:val="0"/>
          <w:numId w:val="43"/>
        </w:numPr>
        <w:jc w:val="left"/>
        <w:rPr>
          <w:rFonts w:cs="Arial"/>
          <w:b/>
          <w:lang w:val="en-GB"/>
        </w:rPr>
      </w:pPr>
      <w:r>
        <w:rPr>
          <w:rFonts w:cs="Arial"/>
          <w:b/>
          <w:lang w:val="en-GB"/>
        </w:rPr>
        <w:t>Private universities</w:t>
      </w:r>
    </w:p>
    <w:p w:rsidR="0020499E" w:rsidRDefault="008E27E1">
      <w:pPr>
        <w:numPr>
          <w:ilvl w:val="1"/>
          <w:numId w:val="43"/>
        </w:numPr>
        <w:jc w:val="left"/>
        <w:rPr>
          <w:rFonts w:cs="Arial"/>
          <w:lang w:val="en-GB"/>
        </w:rPr>
      </w:pPr>
      <w:r>
        <w:rPr>
          <w:rFonts w:cs="Arial"/>
          <w:lang w:val="en-GB"/>
        </w:rPr>
        <w:t xml:space="preserve">Agricultural </w:t>
      </w:r>
      <w:smartTag w:uri="urn:schemas-microsoft-com:office:smarttags" w:element="place">
        <w:smartTag w:uri="urn:schemas-microsoft-com:office:smarttags" w:element="PlaceType">
          <w:r>
            <w:rPr>
              <w:rFonts w:cs="Arial"/>
              <w:lang w:val="en-GB"/>
            </w:rPr>
            <w:t>University</w:t>
          </w:r>
        </w:smartTag>
        <w:r>
          <w:rPr>
            <w:rFonts w:cs="Arial"/>
            <w:lang w:val="en-GB"/>
          </w:rPr>
          <w:t xml:space="preserve"> of </w:t>
        </w:r>
        <w:smartTag w:uri="urn:schemas-microsoft-com:office:smarttags" w:element="PlaceName">
          <w:r>
            <w:rPr>
              <w:rFonts w:cs="Arial"/>
              <w:lang w:val="en-GB"/>
            </w:rPr>
            <w:t>Georgia</w:t>
          </w:r>
        </w:smartTag>
      </w:smartTag>
    </w:p>
    <w:p w:rsidR="0020499E" w:rsidRDefault="008E27E1">
      <w:pPr>
        <w:numPr>
          <w:ilvl w:val="1"/>
          <w:numId w:val="43"/>
        </w:numPr>
        <w:jc w:val="left"/>
        <w:rPr>
          <w:rFonts w:cs="Arial"/>
          <w:lang w:val="en-GB"/>
        </w:rPr>
      </w:pPr>
      <w:r>
        <w:rPr>
          <w:rFonts w:cs="Arial"/>
          <w:lang w:val="en-GB"/>
        </w:rPr>
        <w:t xml:space="preserve">The </w:t>
      </w:r>
      <w:smartTag w:uri="urn:schemas-microsoft-com:office:smarttags" w:element="place">
        <w:smartTag w:uri="urn:schemas-microsoft-com:office:smarttags" w:element="PlaceName">
          <w:r>
            <w:rPr>
              <w:rFonts w:cs="Arial"/>
              <w:lang w:val="en-GB"/>
            </w:rPr>
            <w:t>International</w:t>
          </w:r>
        </w:smartTag>
        <w:smartTag w:uri="urn:schemas-microsoft-com:office:smarttags" w:element="PlaceType">
          <w:r>
            <w:rPr>
              <w:rFonts w:cs="Arial"/>
              <w:lang w:val="en-GB"/>
            </w:rPr>
            <w:t>School</w:t>
          </w:r>
        </w:smartTag>
      </w:smartTag>
      <w:r>
        <w:rPr>
          <w:rFonts w:cs="Arial"/>
          <w:lang w:val="en-GB"/>
        </w:rPr>
        <w:t xml:space="preserve"> of Economics – ISET </w:t>
      </w:r>
    </w:p>
    <w:p w:rsidR="0020499E" w:rsidRDefault="0020499E">
      <w:pPr>
        <w:rPr>
          <w:rFonts w:cs="Arial"/>
          <w:lang w:val="en-GB"/>
        </w:rPr>
      </w:pPr>
    </w:p>
    <w:p w:rsidR="0020499E" w:rsidRDefault="008E27E1">
      <w:pPr>
        <w:rPr>
          <w:rFonts w:cs="Arial"/>
          <w:b/>
          <w:sz w:val="24"/>
          <w:lang w:val="en-GB"/>
        </w:rPr>
      </w:pPr>
      <w:r>
        <w:rPr>
          <w:rFonts w:cs="Arial"/>
          <w:b/>
          <w:sz w:val="24"/>
          <w:lang w:val="en-GB"/>
        </w:rPr>
        <w:t>2. Research institutes</w:t>
      </w:r>
    </w:p>
    <w:p w:rsidR="0020499E" w:rsidRDefault="0020499E">
      <w:pPr>
        <w:rPr>
          <w:rFonts w:cs="Arial"/>
          <w:lang w:val="en-GB"/>
        </w:rPr>
      </w:pPr>
    </w:p>
    <w:p w:rsidR="0020499E" w:rsidRDefault="008E27E1">
      <w:pPr>
        <w:rPr>
          <w:rFonts w:cs="Arial"/>
          <w:b/>
          <w:lang w:val="en-GB"/>
        </w:rPr>
      </w:pPr>
      <w:r>
        <w:rPr>
          <w:rFonts w:cs="Arial"/>
          <w:b/>
          <w:lang w:val="en-GB"/>
        </w:rPr>
        <w:t>2.</w:t>
      </w:r>
      <w:r>
        <w:rPr>
          <w:rFonts w:cs="Arial"/>
          <w:b/>
          <w:lang w:val="en-GB"/>
        </w:rPr>
        <w:t>1 Workshops with University institutes</w:t>
      </w:r>
    </w:p>
    <w:p w:rsidR="0020499E" w:rsidRDefault="0020499E">
      <w:pPr>
        <w:rPr>
          <w:rFonts w:cs="Arial"/>
          <w:lang w:val="en-GB"/>
        </w:rPr>
      </w:pPr>
    </w:p>
    <w:p w:rsidR="0020499E" w:rsidRDefault="008E27E1">
      <w:pPr>
        <w:numPr>
          <w:ilvl w:val="0"/>
          <w:numId w:val="42"/>
        </w:numPr>
        <w:jc w:val="left"/>
        <w:rPr>
          <w:rFonts w:cs="Arial"/>
          <w:lang w:val="en-GB"/>
        </w:rPr>
      </w:pPr>
      <w:smartTag w:uri="urn:schemas-microsoft-com:office:smarttags" w:element="place">
        <w:smartTag w:uri="urn:schemas-microsoft-com:office:smarttags" w:element="PlaceName">
          <w:r>
            <w:rPr>
              <w:rFonts w:cs="Arial"/>
              <w:lang w:val="en-GB"/>
            </w:rPr>
            <w:t>Georgian</w:t>
          </w:r>
        </w:smartTag>
        <w:smartTag w:uri="urn:schemas-microsoft-com:office:smarttags" w:element="PlaceName">
          <w:r>
            <w:rPr>
              <w:rFonts w:cs="Arial"/>
              <w:lang w:val="en-GB"/>
            </w:rPr>
            <w:t>Technical</w:t>
          </w:r>
        </w:smartTag>
        <w:smartTag w:uri="urn:schemas-microsoft-com:office:smarttags" w:element="PlaceType">
          <w:r>
            <w:rPr>
              <w:rFonts w:cs="Arial"/>
              <w:lang w:val="en-GB"/>
            </w:rPr>
            <w:t>University</w:t>
          </w:r>
        </w:smartTag>
      </w:smartTag>
    </w:p>
    <w:p w:rsidR="0020499E" w:rsidRDefault="008E27E1">
      <w:pPr>
        <w:numPr>
          <w:ilvl w:val="1"/>
          <w:numId w:val="42"/>
        </w:numPr>
        <w:autoSpaceDE/>
        <w:autoSpaceDN/>
        <w:adjustRightInd/>
        <w:jc w:val="left"/>
        <w:rPr>
          <w:rFonts w:cs="Arial"/>
          <w:lang w:val="en-GB"/>
        </w:rPr>
      </w:pPr>
      <w:r>
        <w:rPr>
          <w:rFonts w:cs="Arial"/>
          <w:lang w:val="en-GB"/>
        </w:rPr>
        <w:t>Insitute of management systems</w:t>
      </w:r>
    </w:p>
    <w:p w:rsidR="0020499E" w:rsidRDefault="008E27E1">
      <w:pPr>
        <w:numPr>
          <w:ilvl w:val="1"/>
          <w:numId w:val="42"/>
        </w:numPr>
        <w:autoSpaceDE/>
        <w:autoSpaceDN/>
        <w:adjustRightInd/>
        <w:jc w:val="left"/>
        <w:rPr>
          <w:rFonts w:cs="Arial"/>
          <w:lang w:val="en-GB"/>
        </w:rPr>
      </w:pPr>
      <w:r>
        <w:rPr>
          <w:rFonts w:cs="Arial"/>
          <w:lang w:val="en-GB"/>
        </w:rPr>
        <w:t>Center of biotechnologies</w:t>
      </w:r>
    </w:p>
    <w:p w:rsidR="0020499E" w:rsidRDefault="008E27E1">
      <w:pPr>
        <w:numPr>
          <w:ilvl w:val="1"/>
          <w:numId w:val="42"/>
        </w:numPr>
        <w:autoSpaceDE/>
        <w:autoSpaceDN/>
        <w:adjustRightInd/>
        <w:jc w:val="left"/>
        <w:rPr>
          <w:rFonts w:cs="Arial"/>
          <w:lang w:val="en-GB"/>
        </w:rPr>
      </w:pPr>
      <w:r>
        <w:rPr>
          <w:rFonts w:cs="Arial"/>
          <w:lang w:val="en-GB"/>
        </w:rPr>
        <w:t>Muskhelishvili Institute of computing mathematics</w:t>
      </w:r>
    </w:p>
    <w:p w:rsidR="0020499E" w:rsidRDefault="008E27E1">
      <w:pPr>
        <w:numPr>
          <w:ilvl w:val="1"/>
          <w:numId w:val="42"/>
        </w:numPr>
        <w:autoSpaceDE/>
        <w:autoSpaceDN/>
        <w:adjustRightInd/>
        <w:jc w:val="left"/>
        <w:rPr>
          <w:rFonts w:cs="Arial"/>
          <w:lang w:val="en-GB"/>
        </w:rPr>
      </w:pPr>
      <w:smartTag w:uri="urn:schemas-microsoft-com:office:smarttags" w:element="place">
        <w:smartTag w:uri="urn:schemas-microsoft-com:office:smarttags" w:element="PlaceType">
          <w:r>
            <w:rPr>
              <w:rFonts w:cs="Arial"/>
              <w:lang w:val="en-GB"/>
            </w:rPr>
            <w:t>Institute</w:t>
          </w:r>
        </w:smartTag>
        <w:r>
          <w:rPr>
            <w:rFonts w:cs="Arial"/>
            <w:lang w:val="en-GB"/>
          </w:rPr>
          <w:t xml:space="preserve"> of </w:t>
        </w:r>
        <w:smartTag w:uri="urn:schemas-microsoft-com:office:smarttags" w:element="PlaceName">
          <w:r>
            <w:rPr>
              <w:rFonts w:cs="Arial"/>
              <w:lang w:val="en-GB"/>
            </w:rPr>
            <w:t>Food</w:t>
          </w:r>
        </w:smartTag>
      </w:smartTag>
      <w:r>
        <w:rPr>
          <w:rFonts w:cs="Arial"/>
          <w:lang w:val="en-GB"/>
        </w:rPr>
        <w:t xml:space="preserve">  technologies </w:t>
      </w:r>
    </w:p>
    <w:p w:rsidR="0020499E" w:rsidRDefault="008E27E1">
      <w:pPr>
        <w:numPr>
          <w:ilvl w:val="1"/>
          <w:numId w:val="42"/>
        </w:numPr>
        <w:autoSpaceDE/>
        <w:autoSpaceDN/>
        <w:adjustRightInd/>
        <w:jc w:val="left"/>
        <w:rPr>
          <w:rFonts w:cs="Arial"/>
          <w:lang w:val="en-GB"/>
        </w:rPr>
      </w:pPr>
      <w:smartTag w:uri="urn:schemas-microsoft-com:office:smarttags" w:element="place">
        <w:smartTag w:uri="urn:schemas-microsoft-com:office:smarttags" w:element="PlaceType">
          <w:r>
            <w:rPr>
              <w:rFonts w:cs="Arial"/>
              <w:lang w:val="en-GB"/>
            </w:rPr>
            <w:t>Institute</w:t>
          </w:r>
        </w:smartTag>
        <w:r>
          <w:rPr>
            <w:rFonts w:cs="Arial"/>
            <w:lang w:val="en-GB"/>
          </w:rPr>
          <w:t xml:space="preserve"> of </w:t>
        </w:r>
        <w:smartTag w:uri="urn:schemas-microsoft-com:office:smarttags" w:element="PlaceName">
          <w:r>
            <w:rPr>
              <w:rFonts w:cs="Arial"/>
              <w:lang w:val="en-GB"/>
            </w:rPr>
            <w:t>Cibernetics</w:t>
          </w:r>
        </w:smartTag>
      </w:smartTag>
    </w:p>
    <w:p w:rsidR="0020499E" w:rsidRDefault="008E27E1">
      <w:pPr>
        <w:numPr>
          <w:ilvl w:val="1"/>
          <w:numId w:val="42"/>
        </w:numPr>
        <w:autoSpaceDE/>
        <w:autoSpaceDN/>
        <w:adjustRightInd/>
        <w:jc w:val="left"/>
        <w:rPr>
          <w:rFonts w:cs="Arial"/>
          <w:lang w:val="en-GB"/>
        </w:rPr>
      </w:pPr>
      <w:smartTag w:uri="urn:schemas-microsoft-com:office:smarttags" w:element="place">
        <w:smartTag w:uri="urn:schemas-microsoft-com:office:smarttags" w:element="PlaceType">
          <w:r>
            <w:rPr>
              <w:rFonts w:cs="Arial"/>
              <w:lang w:val="en-GB"/>
            </w:rPr>
            <w:t>Institute</w:t>
          </w:r>
        </w:smartTag>
        <w:r>
          <w:rPr>
            <w:rFonts w:cs="Arial"/>
            <w:lang w:val="en-GB"/>
          </w:rPr>
          <w:t xml:space="preserve"> of </w:t>
        </w:r>
        <w:smartTag w:uri="urn:schemas-microsoft-com:office:smarttags" w:element="PlaceName">
          <w:r>
            <w:rPr>
              <w:rFonts w:cs="Arial"/>
              <w:lang w:val="en-GB"/>
            </w:rPr>
            <w:t>Geology</w:t>
          </w:r>
        </w:smartTag>
      </w:smartTag>
    </w:p>
    <w:p w:rsidR="0020499E" w:rsidRDefault="008E27E1">
      <w:pPr>
        <w:numPr>
          <w:ilvl w:val="1"/>
          <w:numId w:val="42"/>
        </w:numPr>
        <w:autoSpaceDE/>
        <w:autoSpaceDN/>
        <w:adjustRightInd/>
        <w:jc w:val="left"/>
        <w:rPr>
          <w:rFonts w:cs="Arial"/>
          <w:lang w:val="en-GB"/>
        </w:rPr>
      </w:pPr>
      <w:r>
        <w:rPr>
          <w:rFonts w:cs="Arial"/>
          <w:lang w:val="en-GB"/>
        </w:rPr>
        <w:t>Institute of water management</w:t>
      </w:r>
    </w:p>
    <w:p w:rsidR="0020499E" w:rsidRDefault="008E27E1">
      <w:pPr>
        <w:numPr>
          <w:ilvl w:val="1"/>
          <w:numId w:val="42"/>
        </w:numPr>
        <w:autoSpaceDE/>
        <w:autoSpaceDN/>
        <w:adjustRightInd/>
        <w:jc w:val="left"/>
        <w:rPr>
          <w:rFonts w:cs="Arial"/>
          <w:lang w:val="en-GB"/>
        </w:rPr>
      </w:pPr>
      <w:r>
        <w:rPr>
          <w:rFonts w:cs="Arial"/>
          <w:lang w:val="en-GB"/>
        </w:rPr>
        <w:t>Techinform</w:t>
      </w:r>
    </w:p>
    <w:p w:rsidR="0020499E" w:rsidRDefault="008E27E1">
      <w:pPr>
        <w:numPr>
          <w:ilvl w:val="1"/>
          <w:numId w:val="42"/>
        </w:numPr>
        <w:autoSpaceDE/>
        <w:autoSpaceDN/>
        <w:adjustRightInd/>
        <w:jc w:val="left"/>
        <w:rPr>
          <w:rFonts w:cs="Arial"/>
          <w:lang w:val="en-GB"/>
        </w:rPr>
      </w:pPr>
      <w:r>
        <w:rPr>
          <w:rFonts w:cs="Arial"/>
          <w:lang w:val="en-GB"/>
        </w:rPr>
        <w:t>Construction technologies institute</w:t>
      </w:r>
    </w:p>
    <w:p w:rsidR="0020499E" w:rsidRDefault="008E27E1">
      <w:pPr>
        <w:numPr>
          <w:ilvl w:val="1"/>
          <w:numId w:val="42"/>
        </w:numPr>
        <w:autoSpaceDE/>
        <w:autoSpaceDN/>
        <w:adjustRightInd/>
        <w:jc w:val="left"/>
        <w:rPr>
          <w:rFonts w:cs="Arial"/>
          <w:lang w:val="en-GB"/>
        </w:rPr>
      </w:pPr>
      <w:r>
        <w:rPr>
          <w:rFonts w:cs="Arial"/>
          <w:lang w:val="en-GB"/>
        </w:rPr>
        <w:t>Institute of natural resources</w:t>
      </w:r>
    </w:p>
    <w:p w:rsidR="0020499E" w:rsidRDefault="008E27E1">
      <w:pPr>
        <w:numPr>
          <w:ilvl w:val="1"/>
          <w:numId w:val="42"/>
        </w:numPr>
        <w:autoSpaceDE/>
        <w:autoSpaceDN/>
        <w:adjustRightInd/>
        <w:jc w:val="left"/>
        <w:rPr>
          <w:rFonts w:cs="Arial"/>
          <w:lang w:val="en-GB"/>
        </w:rPr>
      </w:pPr>
      <w:r>
        <w:rPr>
          <w:rFonts w:cs="Arial"/>
          <w:lang w:val="en-GB"/>
        </w:rPr>
        <w:t>Institute of membrane technologies</w:t>
      </w:r>
    </w:p>
    <w:p w:rsidR="0020499E" w:rsidRDefault="008E27E1">
      <w:pPr>
        <w:numPr>
          <w:ilvl w:val="1"/>
          <w:numId w:val="42"/>
        </w:numPr>
        <w:autoSpaceDE/>
        <w:autoSpaceDN/>
        <w:adjustRightInd/>
        <w:jc w:val="left"/>
        <w:rPr>
          <w:rFonts w:cs="Arial"/>
          <w:lang w:val="en-GB"/>
        </w:rPr>
      </w:pPr>
      <w:r>
        <w:rPr>
          <w:rFonts w:cs="Arial"/>
          <w:lang w:val="en-GB"/>
        </w:rPr>
        <w:t>Institute "Wave" (Talgha)</w:t>
      </w:r>
    </w:p>
    <w:p w:rsidR="0020499E" w:rsidRDefault="008E27E1">
      <w:pPr>
        <w:numPr>
          <w:ilvl w:val="1"/>
          <w:numId w:val="42"/>
        </w:numPr>
        <w:autoSpaceDE/>
        <w:autoSpaceDN/>
        <w:adjustRightInd/>
        <w:jc w:val="left"/>
        <w:rPr>
          <w:rFonts w:cs="Arial"/>
          <w:lang w:val="en-GB"/>
        </w:rPr>
      </w:pPr>
      <w:smartTag w:uri="urn:schemas-microsoft-com:office:smarttags" w:element="place">
        <w:smartTag w:uri="urn:schemas-microsoft-com:office:smarttags" w:element="PlaceType">
          <w:r>
            <w:rPr>
              <w:rFonts w:cs="Arial"/>
              <w:lang w:val="en-GB"/>
            </w:rPr>
            <w:t>Institute</w:t>
          </w:r>
        </w:smartTag>
        <w:r>
          <w:rPr>
            <w:rFonts w:cs="Arial"/>
            <w:lang w:val="en-GB"/>
          </w:rPr>
          <w:t xml:space="preserve"> of </w:t>
        </w:r>
        <w:smartTag w:uri="urn:schemas-microsoft-com:office:smarttags" w:element="PlaceName">
          <w:r>
            <w:rPr>
              <w:rFonts w:cs="Arial"/>
              <w:lang w:val="en-GB"/>
            </w:rPr>
            <w:t>Hydrometeorology</w:t>
          </w:r>
        </w:smartTag>
      </w:smartTag>
    </w:p>
    <w:p w:rsidR="0020499E" w:rsidRDefault="008E27E1">
      <w:pPr>
        <w:numPr>
          <w:ilvl w:val="1"/>
          <w:numId w:val="42"/>
        </w:numPr>
        <w:autoSpaceDE/>
        <w:autoSpaceDN/>
        <w:adjustRightInd/>
        <w:jc w:val="left"/>
        <w:rPr>
          <w:rFonts w:cs="Arial"/>
          <w:lang w:val="en-GB"/>
        </w:rPr>
      </w:pPr>
      <w:r>
        <w:rPr>
          <w:rFonts w:cs="Arial"/>
          <w:lang w:val="en-GB"/>
        </w:rPr>
        <w:t>Institute of electrical engineering</w:t>
      </w:r>
    </w:p>
    <w:p w:rsidR="0020499E" w:rsidRDefault="008E27E1">
      <w:pPr>
        <w:numPr>
          <w:ilvl w:val="1"/>
          <w:numId w:val="42"/>
        </w:numPr>
        <w:jc w:val="left"/>
        <w:rPr>
          <w:rFonts w:cs="Arial"/>
          <w:lang w:val="en-GB"/>
        </w:rPr>
      </w:pPr>
      <w:r>
        <w:rPr>
          <w:rFonts w:cs="Arial"/>
          <w:lang w:val="en-GB"/>
        </w:rPr>
        <w:t>Institute of "Analyti</w:t>
      </w:r>
      <w:r>
        <w:rPr>
          <w:rFonts w:cs="Arial"/>
          <w:lang w:val="en-GB"/>
        </w:rPr>
        <w:t>cal devices"</w:t>
      </w:r>
    </w:p>
    <w:p w:rsidR="0020499E" w:rsidRDefault="0020499E">
      <w:pPr>
        <w:rPr>
          <w:rFonts w:cs="Arial"/>
          <w:lang w:val="en-GB"/>
        </w:rPr>
      </w:pPr>
    </w:p>
    <w:p w:rsidR="0020499E" w:rsidRDefault="008E27E1">
      <w:pPr>
        <w:numPr>
          <w:ilvl w:val="0"/>
          <w:numId w:val="41"/>
        </w:numPr>
        <w:jc w:val="left"/>
        <w:rPr>
          <w:rFonts w:cs="Arial"/>
          <w:lang w:val="en-GB"/>
        </w:rPr>
      </w:pPr>
      <w:smartTag w:uri="urn:schemas-microsoft-com:office:smarttags" w:element="place">
        <w:smartTag w:uri="urn:schemas-microsoft-com:office:smarttags" w:element="PlaceName">
          <w:r>
            <w:rPr>
              <w:rFonts w:cs="Arial"/>
              <w:lang w:val="en-GB"/>
            </w:rPr>
            <w:t>Ivane</w:t>
          </w:r>
        </w:smartTag>
        <w:smartTag w:uri="urn:schemas-microsoft-com:office:smarttags" w:element="PlaceName">
          <w:r>
            <w:rPr>
              <w:rFonts w:cs="Arial"/>
              <w:lang w:val="en-GB"/>
            </w:rPr>
            <w:t>Javakhishvili</w:t>
          </w:r>
        </w:smartTag>
        <w:smartTag w:uri="urn:schemas-microsoft-com:office:smarttags" w:element="PlaceType">
          <w:r>
            <w:rPr>
              <w:rFonts w:cs="Arial"/>
              <w:lang w:val="en-GB"/>
            </w:rPr>
            <w:t>State</w:t>
          </w:r>
        </w:smartTag>
        <w:smartTag w:uri="urn:schemas-microsoft-com:office:smarttags" w:element="PlaceType">
          <w:r>
            <w:rPr>
              <w:rFonts w:cs="Arial"/>
              <w:lang w:val="en-GB"/>
            </w:rPr>
            <w:t>University</w:t>
          </w:r>
        </w:smartTag>
      </w:smartTag>
    </w:p>
    <w:p w:rsidR="0020499E" w:rsidRDefault="008E27E1">
      <w:pPr>
        <w:numPr>
          <w:ilvl w:val="1"/>
          <w:numId w:val="41"/>
        </w:numPr>
        <w:autoSpaceDE/>
        <w:autoSpaceDN/>
        <w:adjustRightInd/>
        <w:jc w:val="left"/>
        <w:rPr>
          <w:rFonts w:cs="Arial"/>
          <w:color w:val="000000"/>
          <w:lang w:val="en-GB"/>
        </w:rPr>
      </w:pPr>
      <w:smartTag w:uri="urn:schemas-microsoft-com:office:smarttags" w:element="place">
        <w:smartTag w:uri="urn:schemas-microsoft-com:office:smarttags" w:element="PlaceType">
          <w:r>
            <w:rPr>
              <w:rFonts w:cs="Arial"/>
              <w:color w:val="000000"/>
              <w:lang w:val="en-GB"/>
            </w:rPr>
            <w:t>Institute</w:t>
          </w:r>
        </w:smartTag>
        <w:r>
          <w:rPr>
            <w:rFonts w:cs="Arial"/>
            <w:color w:val="000000"/>
            <w:lang w:val="en-GB"/>
          </w:rPr>
          <w:t xml:space="preserve"> of </w:t>
        </w:r>
        <w:smartTag w:uri="urn:schemas-microsoft-com:office:smarttags" w:element="PlaceName">
          <w:r>
            <w:rPr>
              <w:rFonts w:cs="Arial"/>
              <w:color w:val="000000"/>
              <w:lang w:val="en-GB"/>
            </w:rPr>
            <w:t>Morphology</w:t>
          </w:r>
        </w:smartTag>
      </w:smartTag>
    </w:p>
    <w:p w:rsidR="0020499E" w:rsidRDefault="008E27E1">
      <w:pPr>
        <w:numPr>
          <w:ilvl w:val="1"/>
          <w:numId w:val="41"/>
        </w:numPr>
        <w:autoSpaceDE/>
        <w:autoSpaceDN/>
        <w:adjustRightInd/>
        <w:jc w:val="left"/>
        <w:rPr>
          <w:rFonts w:cs="Arial"/>
          <w:color w:val="000000"/>
          <w:lang w:val="en-GB"/>
        </w:rPr>
      </w:pPr>
      <w:smartTag w:uri="urn:schemas-microsoft-com:office:smarttags" w:element="place">
        <w:smartTag w:uri="urn:schemas-microsoft-com:office:smarttags" w:element="PlaceType">
          <w:r>
            <w:rPr>
              <w:rFonts w:cs="Arial"/>
              <w:color w:val="000000"/>
              <w:lang w:val="en-GB"/>
            </w:rPr>
            <w:t>Institute</w:t>
          </w:r>
        </w:smartTag>
        <w:r>
          <w:rPr>
            <w:rFonts w:cs="Arial"/>
            <w:color w:val="000000"/>
            <w:lang w:val="en-GB"/>
          </w:rPr>
          <w:t xml:space="preserve"> of </w:t>
        </w:r>
        <w:smartTag w:uri="urn:schemas-microsoft-com:office:smarttags" w:element="PlaceName">
          <w:r>
            <w:rPr>
              <w:rFonts w:cs="Arial"/>
              <w:color w:val="000000"/>
              <w:lang w:val="en-GB"/>
            </w:rPr>
            <w:t>Geology</w:t>
          </w:r>
        </w:smartTag>
      </w:smartTag>
    </w:p>
    <w:p w:rsidR="0020499E" w:rsidRDefault="008E27E1">
      <w:pPr>
        <w:numPr>
          <w:ilvl w:val="1"/>
          <w:numId w:val="41"/>
        </w:numPr>
        <w:autoSpaceDE/>
        <w:autoSpaceDN/>
        <w:adjustRightInd/>
        <w:jc w:val="left"/>
        <w:rPr>
          <w:rFonts w:cs="Arial"/>
          <w:color w:val="000000"/>
          <w:lang w:val="en-GB"/>
        </w:rPr>
      </w:pPr>
      <w:r>
        <w:rPr>
          <w:rFonts w:cs="Arial"/>
          <w:color w:val="000000"/>
          <w:lang w:val="en-GB"/>
        </w:rPr>
        <w:t>Razmadze Institute of Mathematics</w:t>
      </w:r>
    </w:p>
    <w:p w:rsidR="0020499E" w:rsidRDefault="008E27E1">
      <w:pPr>
        <w:numPr>
          <w:ilvl w:val="1"/>
          <w:numId w:val="41"/>
        </w:numPr>
        <w:autoSpaceDE/>
        <w:autoSpaceDN/>
        <w:adjustRightInd/>
        <w:jc w:val="left"/>
        <w:rPr>
          <w:rFonts w:cs="Arial"/>
          <w:color w:val="000000"/>
          <w:lang w:val="en-GB"/>
        </w:rPr>
      </w:pPr>
      <w:r>
        <w:rPr>
          <w:rFonts w:cs="Arial"/>
          <w:color w:val="000000"/>
          <w:lang w:val="en-GB"/>
        </w:rPr>
        <w:t>Tsereteli Institute of Law</w:t>
      </w:r>
    </w:p>
    <w:p w:rsidR="0020499E" w:rsidRDefault="008E27E1">
      <w:pPr>
        <w:numPr>
          <w:ilvl w:val="1"/>
          <w:numId w:val="41"/>
        </w:numPr>
        <w:autoSpaceDE/>
        <w:autoSpaceDN/>
        <w:adjustRightInd/>
        <w:jc w:val="left"/>
        <w:rPr>
          <w:rFonts w:cs="Arial"/>
          <w:color w:val="000000"/>
          <w:lang w:val="en-GB"/>
        </w:rPr>
      </w:pPr>
      <w:r>
        <w:rPr>
          <w:rFonts w:cs="Arial"/>
          <w:color w:val="000000"/>
          <w:lang w:val="en-GB"/>
        </w:rPr>
        <w:t>Chikobava Institute of Linguistics</w:t>
      </w:r>
    </w:p>
    <w:p w:rsidR="0020499E" w:rsidRDefault="008E27E1">
      <w:pPr>
        <w:numPr>
          <w:ilvl w:val="1"/>
          <w:numId w:val="41"/>
        </w:numPr>
        <w:autoSpaceDE/>
        <w:autoSpaceDN/>
        <w:adjustRightInd/>
        <w:jc w:val="left"/>
        <w:rPr>
          <w:rFonts w:cs="Arial"/>
          <w:color w:val="000000"/>
          <w:lang w:val="en-GB"/>
        </w:rPr>
      </w:pPr>
      <w:r>
        <w:rPr>
          <w:rFonts w:cs="Arial"/>
          <w:color w:val="000000"/>
          <w:lang w:val="en-GB"/>
        </w:rPr>
        <w:t>Andronikashvili Institute of Physics</w:t>
      </w:r>
    </w:p>
    <w:p w:rsidR="0020499E" w:rsidRDefault="008E27E1">
      <w:pPr>
        <w:numPr>
          <w:ilvl w:val="1"/>
          <w:numId w:val="41"/>
        </w:numPr>
        <w:autoSpaceDE/>
        <w:autoSpaceDN/>
        <w:adjustRightInd/>
        <w:jc w:val="left"/>
        <w:rPr>
          <w:rFonts w:cs="Arial"/>
          <w:color w:val="000000"/>
          <w:lang w:val="en-GB"/>
        </w:rPr>
      </w:pPr>
      <w:r>
        <w:rPr>
          <w:rFonts w:cs="Arial"/>
          <w:color w:val="000000"/>
          <w:lang w:val="en-GB"/>
        </w:rPr>
        <w:t>Bagrationi Institute of Geolog</w:t>
      </w:r>
      <w:r>
        <w:rPr>
          <w:rFonts w:cs="Arial"/>
          <w:color w:val="000000"/>
          <w:lang w:val="en-GB"/>
        </w:rPr>
        <w:t>y</w:t>
      </w:r>
    </w:p>
    <w:p w:rsidR="0020499E" w:rsidRDefault="008E27E1">
      <w:pPr>
        <w:numPr>
          <w:ilvl w:val="1"/>
          <w:numId w:val="41"/>
        </w:numPr>
        <w:autoSpaceDE/>
        <w:autoSpaceDN/>
        <w:adjustRightInd/>
        <w:jc w:val="left"/>
        <w:rPr>
          <w:rFonts w:cs="Arial"/>
          <w:color w:val="000000"/>
          <w:lang w:val="en-GB"/>
        </w:rPr>
      </w:pPr>
      <w:smartTag w:uri="urn:schemas-microsoft-com:office:smarttags" w:element="place">
        <w:smartTag w:uri="urn:schemas-microsoft-com:office:smarttags" w:element="PlaceType">
          <w:r>
            <w:rPr>
              <w:rFonts w:cs="Arial"/>
              <w:color w:val="000000"/>
              <w:lang w:val="en-GB"/>
            </w:rPr>
            <w:t>Institute</w:t>
          </w:r>
        </w:smartTag>
        <w:r>
          <w:rPr>
            <w:rFonts w:cs="Arial"/>
            <w:color w:val="000000"/>
            <w:lang w:val="en-GB"/>
          </w:rPr>
          <w:t xml:space="preserve"> of </w:t>
        </w:r>
        <w:smartTag w:uri="urn:schemas-microsoft-com:office:smarttags" w:element="PlaceName">
          <w:r>
            <w:rPr>
              <w:rFonts w:cs="Arial"/>
              <w:color w:val="000000"/>
              <w:lang w:val="en-GB"/>
            </w:rPr>
            <w:t>History</w:t>
          </w:r>
        </w:smartTag>
      </w:smartTag>
      <w:r>
        <w:rPr>
          <w:rFonts w:cs="Arial"/>
          <w:color w:val="000000"/>
          <w:lang w:val="en-GB"/>
        </w:rPr>
        <w:t xml:space="preserve"> and Ethnography</w:t>
      </w:r>
    </w:p>
    <w:p w:rsidR="0020499E" w:rsidRDefault="008E27E1">
      <w:pPr>
        <w:numPr>
          <w:ilvl w:val="1"/>
          <w:numId w:val="41"/>
        </w:numPr>
        <w:autoSpaceDE/>
        <w:autoSpaceDN/>
        <w:adjustRightInd/>
        <w:jc w:val="left"/>
        <w:rPr>
          <w:rFonts w:cs="Arial"/>
          <w:color w:val="000000"/>
          <w:lang w:val="en-GB"/>
        </w:rPr>
      </w:pPr>
      <w:r>
        <w:rPr>
          <w:rFonts w:cs="Arial"/>
          <w:color w:val="000000"/>
          <w:lang w:val="en-GB"/>
        </w:rPr>
        <w:t>Vekua Institute of Applied Mathematics</w:t>
      </w:r>
    </w:p>
    <w:p w:rsidR="0020499E" w:rsidRDefault="008E27E1">
      <w:pPr>
        <w:numPr>
          <w:ilvl w:val="1"/>
          <w:numId w:val="41"/>
        </w:numPr>
        <w:autoSpaceDE/>
        <w:autoSpaceDN/>
        <w:adjustRightInd/>
        <w:jc w:val="left"/>
        <w:rPr>
          <w:rFonts w:cs="Arial"/>
          <w:color w:val="000000"/>
          <w:lang w:val="en-GB"/>
        </w:rPr>
      </w:pPr>
      <w:r>
        <w:rPr>
          <w:rFonts w:cs="Arial"/>
          <w:color w:val="000000"/>
          <w:lang w:val="en-GB"/>
        </w:rPr>
        <w:t>Tvalchrelidze Institute of Mineral Resources</w:t>
      </w:r>
    </w:p>
    <w:p w:rsidR="0020499E" w:rsidRDefault="008E27E1">
      <w:pPr>
        <w:numPr>
          <w:ilvl w:val="1"/>
          <w:numId w:val="41"/>
        </w:numPr>
        <w:autoSpaceDE/>
        <w:autoSpaceDN/>
        <w:adjustRightInd/>
        <w:jc w:val="left"/>
        <w:rPr>
          <w:rFonts w:cs="Arial"/>
          <w:color w:val="000000"/>
          <w:lang w:val="en-GB"/>
        </w:rPr>
      </w:pPr>
      <w:smartTag w:uri="urn:schemas-microsoft-com:office:smarttags" w:element="place">
        <w:smartTag w:uri="urn:schemas-microsoft-com:office:smarttags" w:element="PlaceType">
          <w:r>
            <w:rPr>
              <w:rFonts w:cs="Arial"/>
              <w:color w:val="000000"/>
              <w:lang w:val="en-GB"/>
            </w:rPr>
            <w:t>Institute</w:t>
          </w:r>
        </w:smartTag>
        <w:r>
          <w:rPr>
            <w:rFonts w:cs="Arial"/>
            <w:color w:val="000000"/>
            <w:lang w:val="en-GB"/>
          </w:rPr>
          <w:t xml:space="preserve"> of </w:t>
        </w:r>
        <w:smartTag w:uri="urn:schemas-microsoft-com:office:smarttags" w:element="PlaceName">
          <w:r>
            <w:rPr>
              <w:rFonts w:cs="Arial"/>
              <w:color w:val="000000"/>
              <w:lang w:val="en-GB"/>
            </w:rPr>
            <w:t>High</w:t>
          </w:r>
        </w:smartTag>
      </w:smartTag>
      <w:r>
        <w:rPr>
          <w:rFonts w:cs="Arial"/>
          <w:color w:val="000000"/>
          <w:lang w:val="en-GB"/>
        </w:rPr>
        <w:t xml:space="preserve"> Energy Physics</w:t>
      </w:r>
    </w:p>
    <w:p w:rsidR="0020499E" w:rsidRDefault="008E27E1">
      <w:pPr>
        <w:numPr>
          <w:ilvl w:val="1"/>
          <w:numId w:val="41"/>
        </w:numPr>
        <w:autoSpaceDE/>
        <w:autoSpaceDN/>
        <w:adjustRightInd/>
        <w:jc w:val="left"/>
        <w:rPr>
          <w:rFonts w:cs="Arial"/>
          <w:color w:val="000000"/>
          <w:lang w:val="en-GB"/>
        </w:rPr>
      </w:pPr>
      <w:r>
        <w:rPr>
          <w:rFonts w:cs="Arial"/>
          <w:color w:val="000000"/>
          <w:lang w:val="en-GB"/>
        </w:rPr>
        <w:t>Nodia Institute of Geophysics</w:t>
      </w:r>
    </w:p>
    <w:p w:rsidR="0020499E" w:rsidRDefault="008E27E1">
      <w:pPr>
        <w:numPr>
          <w:ilvl w:val="1"/>
          <w:numId w:val="41"/>
        </w:numPr>
        <w:autoSpaceDE/>
        <w:autoSpaceDN/>
        <w:adjustRightInd/>
        <w:jc w:val="left"/>
        <w:rPr>
          <w:rFonts w:cs="Arial"/>
          <w:color w:val="000000"/>
          <w:lang w:val="en-GB"/>
        </w:rPr>
      </w:pPr>
      <w:r>
        <w:rPr>
          <w:rFonts w:cs="Arial"/>
          <w:color w:val="000000"/>
          <w:lang w:val="en-GB"/>
        </w:rPr>
        <w:t>Gugushvili Institute of Economics</w:t>
      </w:r>
    </w:p>
    <w:p w:rsidR="0020499E" w:rsidRDefault="008E27E1">
      <w:pPr>
        <w:numPr>
          <w:ilvl w:val="1"/>
          <w:numId w:val="41"/>
        </w:numPr>
        <w:autoSpaceDE/>
        <w:autoSpaceDN/>
        <w:adjustRightInd/>
        <w:jc w:val="left"/>
        <w:rPr>
          <w:rFonts w:cs="Arial"/>
          <w:color w:val="000000"/>
          <w:lang w:val="en-GB"/>
        </w:rPr>
      </w:pPr>
      <w:r>
        <w:rPr>
          <w:rFonts w:cs="Arial"/>
          <w:color w:val="000000"/>
          <w:lang w:val="en-GB"/>
        </w:rPr>
        <w:t>Melikishvili institute of chemistry</w:t>
      </w:r>
    </w:p>
    <w:p w:rsidR="0020499E" w:rsidRDefault="008E27E1">
      <w:pPr>
        <w:numPr>
          <w:ilvl w:val="1"/>
          <w:numId w:val="41"/>
        </w:numPr>
        <w:autoSpaceDE/>
        <w:autoSpaceDN/>
        <w:adjustRightInd/>
        <w:jc w:val="left"/>
        <w:rPr>
          <w:rFonts w:cs="Arial"/>
          <w:color w:val="000000"/>
          <w:lang w:val="en-GB"/>
        </w:rPr>
      </w:pPr>
      <w:r>
        <w:rPr>
          <w:rFonts w:cs="Arial"/>
          <w:color w:val="000000"/>
          <w:lang w:val="en-GB"/>
        </w:rPr>
        <w:t>Agladze institute of chemistry</w:t>
      </w:r>
    </w:p>
    <w:p w:rsidR="0020499E" w:rsidRDefault="008E27E1">
      <w:pPr>
        <w:numPr>
          <w:ilvl w:val="1"/>
          <w:numId w:val="41"/>
        </w:numPr>
        <w:jc w:val="left"/>
        <w:rPr>
          <w:rFonts w:cs="Arial"/>
          <w:lang w:val="en-GB"/>
        </w:rPr>
      </w:pPr>
      <w:r>
        <w:rPr>
          <w:rFonts w:cs="Arial"/>
          <w:color w:val="000000"/>
          <w:lang w:val="en-GB"/>
        </w:rPr>
        <w:t>Rustavekli Institute of Literature</w:t>
      </w:r>
    </w:p>
    <w:p w:rsidR="0020499E" w:rsidRDefault="0020499E">
      <w:pPr>
        <w:rPr>
          <w:rFonts w:cs="Arial"/>
          <w:lang w:val="en-GB"/>
        </w:rPr>
      </w:pPr>
    </w:p>
    <w:p w:rsidR="0020499E" w:rsidRDefault="008E27E1">
      <w:pPr>
        <w:rPr>
          <w:rFonts w:cs="Arial"/>
          <w:lang w:val="en-GB"/>
        </w:rPr>
      </w:pPr>
      <w:r>
        <w:rPr>
          <w:rFonts w:cs="Arial"/>
          <w:lang w:val="en-GB"/>
        </w:rPr>
        <w:lastRenderedPageBreak/>
        <w:t xml:space="preserve">2.2 Specific visits </w:t>
      </w:r>
    </w:p>
    <w:p w:rsidR="0020499E" w:rsidRDefault="0020499E">
      <w:pPr>
        <w:rPr>
          <w:rFonts w:cs="Arial"/>
          <w:lang w:val="en-GB"/>
        </w:rPr>
      </w:pPr>
    </w:p>
    <w:p w:rsidR="0020499E" w:rsidRDefault="008E27E1">
      <w:pPr>
        <w:numPr>
          <w:ilvl w:val="0"/>
          <w:numId w:val="41"/>
        </w:numPr>
        <w:autoSpaceDE/>
        <w:autoSpaceDN/>
        <w:adjustRightInd/>
        <w:jc w:val="left"/>
        <w:rPr>
          <w:rFonts w:cs="Arial"/>
          <w:color w:val="000000"/>
          <w:lang w:val="en-GB"/>
        </w:rPr>
      </w:pPr>
      <w:r>
        <w:rPr>
          <w:rFonts w:cs="Arial"/>
          <w:color w:val="000000"/>
          <w:lang w:val="en-GB"/>
        </w:rPr>
        <w:t>Affiliated institutes</w:t>
      </w:r>
    </w:p>
    <w:p w:rsidR="0020499E" w:rsidRDefault="008E27E1">
      <w:pPr>
        <w:numPr>
          <w:ilvl w:val="1"/>
          <w:numId w:val="41"/>
        </w:numPr>
        <w:autoSpaceDE/>
        <w:autoSpaceDN/>
        <w:adjustRightInd/>
        <w:jc w:val="left"/>
        <w:rPr>
          <w:rFonts w:cs="Arial"/>
          <w:color w:val="000000"/>
          <w:lang w:val="en-GB"/>
        </w:rPr>
      </w:pPr>
      <w:r>
        <w:rPr>
          <w:rFonts w:cs="Arial"/>
          <w:color w:val="000000"/>
          <w:lang w:val="en-GB"/>
        </w:rPr>
        <w:t>Institute for High Energy Physics</w:t>
      </w:r>
    </w:p>
    <w:p w:rsidR="0020499E" w:rsidRDefault="0020499E">
      <w:pPr>
        <w:numPr>
          <w:ilvl w:val="1"/>
          <w:numId w:val="41"/>
        </w:numPr>
        <w:autoSpaceDE/>
        <w:autoSpaceDN/>
        <w:adjustRightInd/>
        <w:jc w:val="left"/>
        <w:rPr>
          <w:rFonts w:cs="Arial"/>
          <w:lang w:val="en-GB"/>
        </w:rPr>
      </w:pPr>
      <w:hyperlink r:id="rId57" w:history="1">
        <w:r w:rsidR="008E27E1">
          <w:rPr>
            <w:rStyle w:val="Hyperlink"/>
            <w:color w:val="auto"/>
            <w:u w:val="none"/>
            <w:lang w:val="en-GB"/>
          </w:rPr>
          <w:t xml:space="preserve">AleksandreTvalmchrelidze </w:t>
        </w:r>
        <w:r w:rsidR="008E27E1">
          <w:rPr>
            <w:rStyle w:val="Hyperlink"/>
            <w:color w:val="auto"/>
            <w:u w:val="none"/>
            <w:lang w:val="en-GB"/>
          </w:rPr>
          <w:t xml:space="preserve">Caucasus Institute of Mineral Materials </w:t>
        </w:r>
      </w:hyperlink>
    </w:p>
    <w:p w:rsidR="0020499E" w:rsidRDefault="0020499E">
      <w:pPr>
        <w:numPr>
          <w:ilvl w:val="1"/>
          <w:numId w:val="41"/>
        </w:numPr>
        <w:autoSpaceDE/>
        <w:autoSpaceDN/>
        <w:adjustRightInd/>
        <w:jc w:val="left"/>
        <w:rPr>
          <w:rFonts w:cs="Arial"/>
          <w:lang w:val="en-GB"/>
        </w:rPr>
      </w:pPr>
      <w:hyperlink r:id="rId58" w:history="1">
        <w:r w:rsidR="008E27E1">
          <w:rPr>
            <w:rStyle w:val="Hyperlink"/>
            <w:color w:val="auto"/>
            <w:u w:val="none"/>
            <w:lang w:val="en-GB"/>
          </w:rPr>
          <w:t xml:space="preserve">PetreMelikishvili Institute of Physics and Organic Chemistry </w:t>
        </w:r>
      </w:hyperlink>
    </w:p>
    <w:p w:rsidR="0020499E" w:rsidRDefault="008E27E1">
      <w:pPr>
        <w:numPr>
          <w:ilvl w:val="1"/>
          <w:numId w:val="41"/>
        </w:numPr>
        <w:autoSpaceDE/>
        <w:autoSpaceDN/>
        <w:adjustRightInd/>
        <w:jc w:val="left"/>
        <w:rPr>
          <w:rFonts w:cs="Arial"/>
          <w:lang w:val="en-GB"/>
        </w:rPr>
      </w:pPr>
      <w:smartTag w:uri="urn:schemas-microsoft-com:office:smarttags" w:element="place">
        <w:smartTag w:uri="urn:schemas-microsoft-com:office:smarttags" w:element="PlaceType">
          <w:r>
            <w:rPr>
              <w:rFonts w:cs="Arial"/>
              <w:lang w:val="en-GB"/>
            </w:rPr>
            <w:t>Institute</w:t>
          </w:r>
        </w:smartTag>
        <w:r>
          <w:rPr>
            <w:rFonts w:cs="Arial"/>
            <w:lang w:val="en-GB"/>
          </w:rPr>
          <w:t xml:space="preserve"> of </w:t>
        </w:r>
        <w:smartTag w:uri="urn:schemas-microsoft-com:office:smarttags" w:element="PlaceName">
          <w:r>
            <w:rPr>
              <w:rFonts w:cs="Arial"/>
              <w:lang w:val="en-GB"/>
            </w:rPr>
            <w:t>History</w:t>
          </w:r>
        </w:smartTag>
      </w:smartTag>
      <w:r>
        <w:rPr>
          <w:rFonts w:cs="Arial"/>
          <w:lang w:val="en-GB"/>
        </w:rPr>
        <w:t xml:space="preserve"> and Ethnography</w:t>
      </w:r>
    </w:p>
    <w:p w:rsidR="0020499E" w:rsidRDefault="0020499E">
      <w:pPr>
        <w:ind w:left="1080"/>
        <w:rPr>
          <w:rFonts w:cs="Arial"/>
          <w:lang w:val="en-GB"/>
        </w:rPr>
      </w:pPr>
    </w:p>
    <w:p w:rsidR="0020499E" w:rsidRDefault="008E27E1">
      <w:pPr>
        <w:numPr>
          <w:ilvl w:val="0"/>
          <w:numId w:val="41"/>
        </w:numPr>
        <w:autoSpaceDE/>
        <w:autoSpaceDN/>
        <w:adjustRightInd/>
        <w:jc w:val="left"/>
        <w:rPr>
          <w:rFonts w:cs="Arial"/>
          <w:bCs/>
          <w:color w:val="000000"/>
          <w:lang w:val="en-GB"/>
        </w:rPr>
      </w:pPr>
      <w:r>
        <w:rPr>
          <w:rFonts w:cs="Arial"/>
          <w:bCs/>
          <w:color w:val="000000"/>
          <w:lang w:val="en-GB"/>
        </w:rPr>
        <w:t>Independent institutes (LEPL)</w:t>
      </w:r>
    </w:p>
    <w:p w:rsidR="0020499E" w:rsidRDefault="008E27E1">
      <w:pPr>
        <w:numPr>
          <w:ilvl w:val="1"/>
          <w:numId w:val="41"/>
        </w:numPr>
        <w:autoSpaceDE/>
        <w:autoSpaceDN/>
        <w:adjustRightInd/>
        <w:jc w:val="left"/>
        <w:rPr>
          <w:rFonts w:cs="Arial"/>
          <w:color w:val="000000"/>
        </w:rPr>
      </w:pPr>
      <w:r>
        <w:rPr>
          <w:rFonts w:cs="Arial"/>
          <w:color w:val="000000"/>
        </w:rPr>
        <w:t xml:space="preserve">Eliava institute of bacteriology </w:t>
      </w:r>
    </w:p>
    <w:p w:rsidR="0020499E" w:rsidRDefault="008E27E1">
      <w:pPr>
        <w:numPr>
          <w:ilvl w:val="1"/>
          <w:numId w:val="41"/>
        </w:numPr>
        <w:autoSpaceDE/>
        <w:autoSpaceDN/>
        <w:adjustRightInd/>
        <w:jc w:val="left"/>
        <w:rPr>
          <w:rFonts w:cs="Arial"/>
          <w:color w:val="000000"/>
          <w:lang w:val="en-GB"/>
        </w:rPr>
      </w:pPr>
      <w:r>
        <w:rPr>
          <w:rFonts w:cs="Arial"/>
          <w:color w:val="000000"/>
        </w:rPr>
        <w:t>Beritashvili center of Experimental medicine</w:t>
      </w:r>
    </w:p>
    <w:p w:rsidR="0020499E" w:rsidRDefault="0020499E">
      <w:pPr>
        <w:rPr>
          <w:rFonts w:cs="Arial"/>
          <w:lang w:val="en-GB"/>
        </w:rPr>
      </w:pPr>
    </w:p>
    <w:p w:rsidR="0020499E" w:rsidRDefault="008E27E1">
      <w:pPr>
        <w:rPr>
          <w:rFonts w:cs="Arial"/>
          <w:b/>
          <w:sz w:val="24"/>
          <w:lang w:val="en-GB"/>
        </w:rPr>
      </w:pPr>
      <w:r>
        <w:rPr>
          <w:rFonts w:cs="Arial"/>
          <w:b/>
          <w:sz w:val="24"/>
          <w:lang w:val="en-GB"/>
        </w:rPr>
        <w:t>3. Other</w:t>
      </w:r>
    </w:p>
    <w:p w:rsidR="0020499E" w:rsidRDefault="0020499E">
      <w:pPr>
        <w:rPr>
          <w:rFonts w:cs="Arial"/>
          <w:lang w:val="en-GB"/>
        </w:rPr>
      </w:pPr>
    </w:p>
    <w:p w:rsidR="0020499E" w:rsidRDefault="008E27E1">
      <w:pPr>
        <w:numPr>
          <w:ilvl w:val="0"/>
          <w:numId w:val="44"/>
        </w:numPr>
        <w:autoSpaceDE/>
        <w:autoSpaceDN/>
        <w:adjustRightInd/>
        <w:jc w:val="left"/>
        <w:rPr>
          <w:rFonts w:cs="Arial"/>
          <w:lang w:val="en-GB"/>
        </w:rPr>
      </w:pPr>
      <w:smartTag w:uri="urn:schemas-microsoft-com:office:smarttags" w:element="place">
        <w:smartTag w:uri="urn:schemas-microsoft-com:office:smarttags" w:element="PlaceType">
          <w:r>
            <w:rPr>
              <w:rFonts w:cs="Arial"/>
              <w:lang w:val="en-GB"/>
            </w:rPr>
            <w:t>Academy</w:t>
          </w:r>
        </w:smartTag>
        <w:r>
          <w:rPr>
            <w:rFonts w:cs="Arial"/>
            <w:lang w:val="en-GB"/>
          </w:rPr>
          <w:t xml:space="preserve"> of </w:t>
        </w:r>
        <w:smartTag w:uri="urn:schemas-microsoft-com:office:smarttags" w:element="PlaceName">
          <w:r>
            <w:rPr>
              <w:rFonts w:cs="Arial"/>
              <w:lang w:val="en-GB"/>
            </w:rPr>
            <w:t>Science</w:t>
          </w:r>
        </w:smartTag>
      </w:smartTag>
    </w:p>
    <w:p w:rsidR="0020499E" w:rsidRDefault="008E27E1">
      <w:pPr>
        <w:numPr>
          <w:ilvl w:val="0"/>
          <w:numId w:val="44"/>
        </w:numPr>
        <w:autoSpaceDE/>
        <w:autoSpaceDN/>
        <w:adjustRightInd/>
        <w:jc w:val="left"/>
        <w:rPr>
          <w:rFonts w:cs="Arial"/>
          <w:lang w:val="en-GB"/>
        </w:rPr>
      </w:pPr>
      <w:smartTag w:uri="urn:schemas-microsoft-com:office:smarttags" w:element="country-region">
        <w:smartTag w:uri="urn:schemas-microsoft-com:office:smarttags" w:element="place">
          <w:r>
            <w:rPr>
              <w:rFonts w:cs="Arial"/>
              <w:lang w:val="en-GB"/>
            </w:rPr>
            <w:t>Georgia</w:t>
          </w:r>
        </w:smartTag>
      </w:smartTag>
      <w:r>
        <w:rPr>
          <w:rFonts w:cs="Arial"/>
          <w:lang w:val="en-GB"/>
        </w:rPr>
        <w:t xml:space="preserve">’s Innovation and technology Agency </w:t>
      </w:r>
    </w:p>
    <w:p w:rsidR="0020499E" w:rsidRDefault="008E27E1">
      <w:pPr>
        <w:numPr>
          <w:ilvl w:val="0"/>
          <w:numId w:val="44"/>
        </w:numPr>
        <w:jc w:val="left"/>
        <w:rPr>
          <w:rFonts w:cs="Arial"/>
          <w:lang w:val="en-GB"/>
        </w:rPr>
      </w:pPr>
      <w:smartTag w:uri="urn:schemas-microsoft-com:office:smarttags" w:element="place">
        <w:smartTag w:uri="urn:schemas-microsoft-com:office:smarttags" w:element="PlaceName">
          <w:r>
            <w:rPr>
              <w:rFonts w:cs="Arial"/>
              <w:lang w:val="en-GB"/>
            </w:rPr>
            <w:t>National</w:t>
          </w:r>
        </w:smartTag>
        <w:smartTag w:uri="urn:schemas-microsoft-com:office:smarttags" w:element="PlaceName">
          <w:r>
            <w:rPr>
              <w:rFonts w:cs="Arial"/>
              <w:lang w:val="en-GB"/>
            </w:rPr>
            <w:t>Intellectual</w:t>
          </w:r>
        </w:smartTag>
        <w:smartTag w:uri="urn:schemas-microsoft-com:office:smarttags" w:element="PlaceName">
          <w:r>
            <w:rPr>
              <w:rFonts w:cs="Arial"/>
              <w:lang w:val="en-GB"/>
            </w:rPr>
            <w:t>Property</w:t>
          </w:r>
        </w:smartTag>
        <w:smartTag w:uri="urn:schemas-microsoft-com:office:smarttags" w:element="PlaceType">
          <w:r>
            <w:rPr>
              <w:rFonts w:cs="Arial"/>
              <w:lang w:val="en-GB"/>
            </w:rPr>
            <w:t>Center</w:t>
          </w:r>
        </w:smartTag>
      </w:smartTag>
      <w:r>
        <w:rPr>
          <w:rFonts w:cs="Arial"/>
          <w:lang w:val="en-GB"/>
        </w:rPr>
        <w:t xml:space="preserve"> of Georgia (Sakpatenti)</w:t>
      </w:r>
    </w:p>
    <w:p w:rsidR="0020499E" w:rsidRDefault="008E27E1">
      <w:pPr>
        <w:numPr>
          <w:ilvl w:val="0"/>
          <w:numId w:val="44"/>
        </w:numPr>
        <w:jc w:val="left"/>
        <w:rPr>
          <w:rFonts w:cs="Arial"/>
          <w:lang w:val="en-GB"/>
        </w:rPr>
      </w:pPr>
      <w:r>
        <w:rPr>
          <w:rFonts w:cs="Arial"/>
          <w:lang w:val="en-GB"/>
        </w:rPr>
        <w:t xml:space="preserve">Ministry of Education and Science </w:t>
      </w:r>
    </w:p>
    <w:p w:rsidR="0020499E" w:rsidRDefault="008E27E1">
      <w:pPr>
        <w:numPr>
          <w:ilvl w:val="0"/>
          <w:numId w:val="44"/>
        </w:numPr>
        <w:jc w:val="left"/>
        <w:rPr>
          <w:rFonts w:cs="Arial"/>
          <w:lang w:val="en-GB"/>
        </w:rPr>
      </w:pPr>
      <w:r>
        <w:rPr>
          <w:rFonts w:cs="Arial"/>
          <w:lang w:val="en-GB"/>
        </w:rPr>
        <w:t>Shota</w:t>
      </w:r>
      <w:r>
        <w:rPr>
          <w:rFonts w:cs="Arial"/>
          <w:lang w:val="en-GB"/>
        </w:rPr>
        <w:t>Rustaveli National Science Foundation (SRNSF)</w:t>
      </w:r>
    </w:p>
    <w:p w:rsidR="0020499E" w:rsidRDefault="008E27E1">
      <w:pPr>
        <w:numPr>
          <w:ilvl w:val="0"/>
          <w:numId w:val="44"/>
        </w:numPr>
        <w:jc w:val="left"/>
        <w:rPr>
          <w:rFonts w:cs="Arial"/>
          <w:lang w:val="en-GB"/>
        </w:rPr>
      </w:pPr>
      <w:r>
        <w:rPr>
          <w:rFonts w:cs="Arial"/>
          <w:lang w:val="en-GB"/>
        </w:rPr>
        <w:t xml:space="preserve">Tempus office in </w:t>
      </w:r>
      <w:smartTag w:uri="urn:schemas-microsoft-com:office:smarttags" w:element="place">
        <w:smartTag w:uri="urn:schemas-microsoft-com:office:smarttags" w:element="country-region">
          <w:r>
            <w:rPr>
              <w:rFonts w:cs="Arial"/>
              <w:lang w:val="en-GB"/>
            </w:rPr>
            <w:t>Georgia</w:t>
          </w:r>
        </w:smartTag>
      </w:smartTag>
    </w:p>
    <w:p w:rsidR="0020499E" w:rsidRDefault="008E27E1">
      <w:pPr>
        <w:numPr>
          <w:ilvl w:val="0"/>
          <w:numId w:val="44"/>
        </w:numPr>
        <w:jc w:val="left"/>
        <w:rPr>
          <w:rFonts w:cs="Arial"/>
          <w:lang w:val="en-GB"/>
        </w:rPr>
      </w:pPr>
      <w:r>
        <w:rPr>
          <w:rFonts w:cs="Arial"/>
          <w:lang w:val="en-GB"/>
        </w:rPr>
        <w:t xml:space="preserve">USAID office in </w:t>
      </w:r>
      <w:smartTag w:uri="urn:schemas-microsoft-com:office:smarttags" w:element="country-region">
        <w:smartTag w:uri="urn:schemas-microsoft-com:office:smarttags" w:element="place">
          <w:r>
            <w:rPr>
              <w:rFonts w:cs="Arial"/>
              <w:lang w:val="en-GB"/>
            </w:rPr>
            <w:t>Georgia</w:t>
          </w:r>
        </w:smartTag>
      </w:smartTag>
    </w:p>
    <w:p w:rsidR="0020499E" w:rsidRDefault="008E27E1">
      <w:pPr>
        <w:numPr>
          <w:ilvl w:val="0"/>
          <w:numId w:val="44"/>
        </w:numPr>
        <w:jc w:val="left"/>
        <w:rPr>
          <w:rFonts w:cs="Arial"/>
          <w:lang w:val="en-GB"/>
        </w:rPr>
      </w:pPr>
      <w:r>
        <w:rPr>
          <w:rFonts w:cs="Arial"/>
          <w:lang w:val="en-GB"/>
        </w:rPr>
        <w:t xml:space="preserve">World Bank office in </w:t>
      </w:r>
      <w:smartTag w:uri="urn:schemas-microsoft-com:office:smarttags" w:element="place">
        <w:smartTag w:uri="urn:schemas-microsoft-com:office:smarttags" w:element="country-region">
          <w:r>
            <w:rPr>
              <w:rFonts w:cs="Arial"/>
              <w:lang w:val="en-GB"/>
            </w:rPr>
            <w:t>Georgia</w:t>
          </w:r>
        </w:smartTag>
      </w:smartTag>
    </w:p>
    <w:p w:rsidR="0020499E" w:rsidRDefault="0020499E">
      <w:pPr>
        <w:rPr>
          <w:rFonts w:cs="Arial"/>
          <w:lang w:val="en-GB"/>
        </w:rPr>
      </w:pPr>
    </w:p>
    <w:p w:rsidR="0020499E" w:rsidRDefault="0020499E">
      <w:pPr>
        <w:rPr>
          <w:rFonts w:cs="Arial"/>
          <w:lang w:val="en-GB"/>
        </w:rPr>
      </w:pPr>
    </w:p>
    <w:p w:rsidR="0020499E" w:rsidRDefault="0020499E">
      <w:pPr>
        <w:autoSpaceDE/>
        <w:autoSpaceDN/>
        <w:adjustRightInd/>
        <w:jc w:val="left"/>
        <w:rPr>
          <w:b/>
          <w:sz w:val="28"/>
          <w:szCs w:val="28"/>
        </w:rPr>
      </w:pPr>
    </w:p>
    <w:p w:rsidR="0020499E" w:rsidRDefault="008E27E1">
      <w:pPr>
        <w:autoSpaceDE/>
        <w:autoSpaceDN/>
        <w:adjustRightInd/>
        <w:jc w:val="left"/>
        <w:rPr>
          <w:b/>
          <w:sz w:val="28"/>
          <w:szCs w:val="28"/>
        </w:rPr>
      </w:pPr>
      <w:r>
        <w:br w:type="page"/>
      </w:r>
    </w:p>
    <w:p w:rsidR="0020499E" w:rsidRDefault="008E27E1">
      <w:pPr>
        <w:pStyle w:val="Heading2"/>
      </w:pPr>
      <w:bookmarkStart w:id="52" w:name="_Toc389396939"/>
      <w:r>
        <w:lastRenderedPageBreak/>
        <w:t>Annex 2: Statistical information</w:t>
      </w:r>
      <w:bookmarkEnd w:id="52"/>
    </w:p>
    <w:p w:rsidR="0020499E" w:rsidRDefault="0020499E"/>
    <w:p w:rsidR="0020499E" w:rsidRDefault="0020499E"/>
    <w:p w:rsidR="0020499E" w:rsidRDefault="0020499E"/>
    <w:p w:rsidR="0020499E" w:rsidRDefault="008E27E1">
      <w:pPr>
        <w:ind w:left="360"/>
        <w:rPr>
          <w:b/>
        </w:rPr>
      </w:pPr>
      <w:r>
        <w:rPr>
          <w:b/>
        </w:rPr>
        <w:t>a. HE and research funding by years (Georgia)</w:t>
      </w:r>
    </w:p>
    <w:p w:rsidR="0020499E" w:rsidRDefault="0020499E">
      <w:pPr>
        <w:ind w:firstLine="720"/>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61"/>
        <w:gridCol w:w="992"/>
        <w:gridCol w:w="1134"/>
        <w:gridCol w:w="992"/>
        <w:gridCol w:w="1134"/>
        <w:gridCol w:w="1134"/>
      </w:tblGrid>
      <w:tr w:rsidR="0020499E">
        <w:trPr>
          <w:trHeight w:val="112"/>
        </w:trPr>
        <w:tc>
          <w:tcPr>
            <w:tcW w:w="4361" w:type="dxa"/>
          </w:tcPr>
          <w:p w:rsidR="0020499E" w:rsidRDefault="008E27E1">
            <w:pPr>
              <w:jc w:val="center"/>
              <w:rPr>
                <w:rFonts w:cs="Sylfaen"/>
                <w:b/>
                <w:color w:val="000000"/>
              </w:rPr>
            </w:pPr>
            <w:r>
              <w:rPr>
                <w:rFonts w:cs="Sylfaen"/>
                <w:b/>
                <w:color w:val="000000"/>
              </w:rPr>
              <w:t>Years</w:t>
            </w:r>
          </w:p>
        </w:tc>
        <w:tc>
          <w:tcPr>
            <w:tcW w:w="992" w:type="dxa"/>
          </w:tcPr>
          <w:p w:rsidR="0020499E" w:rsidRDefault="008E27E1">
            <w:pPr>
              <w:jc w:val="center"/>
              <w:rPr>
                <w:rFonts w:cs="Sylfaen"/>
                <w:b/>
                <w:color w:val="000000"/>
              </w:rPr>
            </w:pPr>
            <w:r>
              <w:rPr>
                <w:rFonts w:cs="Sylfaen"/>
                <w:b/>
                <w:color w:val="000000"/>
              </w:rPr>
              <w:t>2008</w:t>
            </w:r>
          </w:p>
        </w:tc>
        <w:tc>
          <w:tcPr>
            <w:tcW w:w="1134" w:type="dxa"/>
          </w:tcPr>
          <w:p w:rsidR="0020499E" w:rsidRDefault="008E27E1">
            <w:pPr>
              <w:jc w:val="center"/>
              <w:rPr>
                <w:rFonts w:cs="Sylfaen"/>
                <w:b/>
                <w:color w:val="000000"/>
              </w:rPr>
            </w:pPr>
            <w:r>
              <w:rPr>
                <w:rFonts w:cs="Sylfaen"/>
                <w:b/>
                <w:color w:val="000000"/>
              </w:rPr>
              <w:t>2009</w:t>
            </w:r>
          </w:p>
        </w:tc>
        <w:tc>
          <w:tcPr>
            <w:tcW w:w="992" w:type="dxa"/>
          </w:tcPr>
          <w:p w:rsidR="0020499E" w:rsidRDefault="008E27E1">
            <w:pPr>
              <w:jc w:val="center"/>
              <w:rPr>
                <w:rFonts w:cs="Sylfaen"/>
                <w:b/>
                <w:color w:val="000000"/>
              </w:rPr>
            </w:pPr>
            <w:r>
              <w:rPr>
                <w:rFonts w:cs="Sylfaen"/>
                <w:b/>
                <w:color w:val="000000"/>
              </w:rPr>
              <w:t>2010</w:t>
            </w:r>
          </w:p>
        </w:tc>
        <w:tc>
          <w:tcPr>
            <w:tcW w:w="1134" w:type="dxa"/>
          </w:tcPr>
          <w:p w:rsidR="0020499E" w:rsidRDefault="008E27E1">
            <w:pPr>
              <w:jc w:val="center"/>
              <w:rPr>
                <w:rFonts w:cs="Sylfaen"/>
                <w:b/>
                <w:color w:val="000000"/>
              </w:rPr>
            </w:pPr>
            <w:r>
              <w:rPr>
                <w:rFonts w:cs="Sylfaen"/>
                <w:b/>
                <w:color w:val="000000"/>
              </w:rPr>
              <w:t>2011</w:t>
            </w:r>
          </w:p>
        </w:tc>
        <w:tc>
          <w:tcPr>
            <w:tcW w:w="1134" w:type="dxa"/>
          </w:tcPr>
          <w:p w:rsidR="0020499E" w:rsidRDefault="008E27E1">
            <w:pPr>
              <w:jc w:val="center"/>
              <w:rPr>
                <w:rFonts w:cs="Sylfaen"/>
                <w:b/>
                <w:color w:val="000000"/>
              </w:rPr>
            </w:pPr>
            <w:r>
              <w:rPr>
                <w:rFonts w:cs="Sylfaen"/>
                <w:b/>
                <w:color w:val="000000"/>
              </w:rPr>
              <w:t>2012</w:t>
            </w:r>
          </w:p>
        </w:tc>
      </w:tr>
      <w:tr w:rsidR="0020499E">
        <w:trPr>
          <w:trHeight w:val="112"/>
        </w:trPr>
        <w:tc>
          <w:tcPr>
            <w:tcW w:w="4361" w:type="dxa"/>
          </w:tcPr>
          <w:p w:rsidR="0020499E" w:rsidRDefault="008E27E1">
            <w:pPr>
              <w:rPr>
                <w:rFonts w:cs="Sylfaen"/>
                <w:color w:val="000000"/>
              </w:rPr>
            </w:pPr>
            <w:r>
              <w:rPr>
                <w:rFonts w:cs="Sylfaen"/>
                <w:color w:val="000000"/>
              </w:rPr>
              <w:t xml:space="preserve">GDP Million </w:t>
            </w:r>
            <w:r>
              <w:rPr>
                <w:rFonts w:cs="Sylfaen"/>
                <w:color w:val="000000"/>
              </w:rPr>
              <w:t>GeL</w:t>
            </w:r>
          </w:p>
        </w:tc>
        <w:tc>
          <w:tcPr>
            <w:tcW w:w="992" w:type="dxa"/>
          </w:tcPr>
          <w:p w:rsidR="0020499E" w:rsidRDefault="008E27E1">
            <w:pPr>
              <w:jc w:val="center"/>
              <w:rPr>
                <w:rFonts w:cs="Sylfaen"/>
                <w:color w:val="000000"/>
              </w:rPr>
            </w:pPr>
            <w:r>
              <w:rPr>
                <w:rFonts w:cs="Sylfaen"/>
                <w:color w:val="000000"/>
              </w:rPr>
              <w:t>19069.6</w:t>
            </w:r>
          </w:p>
        </w:tc>
        <w:tc>
          <w:tcPr>
            <w:tcW w:w="1134" w:type="dxa"/>
          </w:tcPr>
          <w:p w:rsidR="0020499E" w:rsidRDefault="008E27E1">
            <w:pPr>
              <w:jc w:val="center"/>
              <w:rPr>
                <w:rFonts w:cs="Sylfaen"/>
                <w:color w:val="000000"/>
              </w:rPr>
            </w:pPr>
            <w:r>
              <w:rPr>
                <w:rFonts w:cs="Sylfaen"/>
                <w:color w:val="000000"/>
              </w:rPr>
              <w:t>17986</w:t>
            </w:r>
          </w:p>
        </w:tc>
        <w:tc>
          <w:tcPr>
            <w:tcW w:w="992" w:type="dxa"/>
          </w:tcPr>
          <w:p w:rsidR="0020499E" w:rsidRDefault="008E27E1">
            <w:pPr>
              <w:jc w:val="center"/>
              <w:rPr>
                <w:rFonts w:cs="Sylfaen"/>
                <w:color w:val="000000"/>
              </w:rPr>
            </w:pPr>
            <w:r>
              <w:rPr>
                <w:rFonts w:cs="Sylfaen"/>
                <w:color w:val="000000"/>
              </w:rPr>
              <w:t>20740</w:t>
            </w:r>
          </w:p>
        </w:tc>
        <w:tc>
          <w:tcPr>
            <w:tcW w:w="1134" w:type="dxa"/>
          </w:tcPr>
          <w:p w:rsidR="0020499E" w:rsidRDefault="008E27E1">
            <w:pPr>
              <w:jc w:val="center"/>
              <w:rPr>
                <w:rFonts w:cs="Sylfaen"/>
                <w:color w:val="000000"/>
              </w:rPr>
            </w:pPr>
            <w:r>
              <w:rPr>
                <w:rFonts w:cs="Sylfaen"/>
                <w:color w:val="000000"/>
              </w:rPr>
              <w:t>24344</w:t>
            </w:r>
          </w:p>
        </w:tc>
        <w:tc>
          <w:tcPr>
            <w:tcW w:w="1134" w:type="dxa"/>
          </w:tcPr>
          <w:p w:rsidR="0020499E" w:rsidRDefault="008E27E1">
            <w:pPr>
              <w:jc w:val="center"/>
              <w:rPr>
                <w:rFonts w:cs="Sylfaen"/>
                <w:color w:val="000000"/>
              </w:rPr>
            </w:pPr>
            <w:r>
              <w:rPr>
                <w:rFonts w:cs="Sylfaen"/>
                <w:color w:val="000000"/>
              </w:rPr>
              <w:t>26139</w:t>
            </w:r>
          </w:p>
        </w:tc>
      </w:tr>
      <w:tr w:rsidR="0020499E">
        <w:trPr>
          <w:trHeight w:val="363"/>
        </w:trPr>
        <w:tc>
          <w:tcPr>
            <w:tcW w:w="4361" w:type="dxa"/>
          </w:tcPr>
          <w:p w:rsidR="0020499E" w:rsidRDefault="008E27E1">
            <w:pPr>
              <w:rPr>
                <w:rFonts w:cs="Sylfaen"/>
                <w:color w:val="000000"/>
              </w:rPr>
            </w:pPr>
            <w:r>
              <w:rPr>
                <w:rFonts w:cs="Sylfaen"/>
                <w:color w:val="000000"/>
              </w:rPr>
              <w:t>Factual expenditure (State funds) on research projects* Million GeL</w:t>
            </w:r>
          </w:p>
        </w:tc>
        <w:tc>
          <w:tcPr>
            <w:tcW w:w="992" w:type="dxa"/>
          </w:tcPr>
          <w:p w:rsidR="0020499E" w:rsidRDefault="008E27E1">
            <w:pPr>
              <w:jc w:val="center"/>
              <w:rPr>
                <w:rFonts w:cs="Sylfaen"/>
                <w:color w:val="000000"/>
              </w:rPr>
            </w:pPr>
            <w:r>
              <w:rPr>
                <w:rFonts w:cs="Sylfaen"/>
                <w:color w:val="000000"/>
              </w:rPr>
              <w:t>31,2</w:t>
            </w:r>
          </w:p>
        </w:tc>
        <w:tc>
          <w:tcPr>
            <w:tcW w:w="1134" w:type="dxa"/>
          </w:tcPr>
          <w:p w:rsidR="0020499E" w:rsidRDefault="008E27E1">
            <w:pPr>
              <w:jc w:val="center"/>
              <w:rPr>
                <w:rFonts w:cs="Sylfaen"/>
                <w:color w:val="000000"/>
              </w:rPr>
            </w:pPr>
            <w:r>
              <w:rPr>
                <w:rFonts w:cs="Sylfaen"/>
                <w:color w:val="000000"/>
              </w:rPr>
              <w:t>39,7</w:t>
            </w:r>
          </w:p>
        </w:tc>
        <w:tc>
          <w:tcPr>
            <w:tcW w:w="992" w:type="dxa"/>
          </w:tcPr>
          <w:p w:rsidR="0020499E" w:rsidRDefault="008E27E1">
            <w:pPr>
              <w:jc w:val="center"/>
              <w:rPr>
                <w:rFonts w:cs="Sylfaen"/>
                <w:color w:val="000000"/>
              </w:rPr>
            </w:pPr>
            <w:r>
              <w:rPr>
                <w:rFonts w:cs="Sylfaen"/>
                <w:color w:val="000000"/>
              </w:rPr>
              <w:t>38</w:t>
            </w:r>
          </w:p>
        </w:tc>
        <w:tc>
          <w:tcPr>
            <w:tcW w:w="1134" w:type="dxa"/>
          </w:tcPr>
          <w:p w:rsidR="0020499E" w:rsidRDefault="008E27E1">
            <w:pPr>
              <w:jc w:val="center"/>
              <w:rPr>
                <w:rFonts w:cs="Sylfaen"/>
                <w:color w:val="000000"/>
              </w:rPr>
            </w:pPr>
            <w:r>
              <w:rPr>
                <w:rFonts w:cs="Sylfaen"/>
                <w:color w:val="000000"/>
              </w:rPr>
              <w:t>21</w:t>
            </w:r>
          </w:p>
        </w:tc>
        <w:tc>
          <w:tcPr>
            <w:tcW w:w="1134" w:type="dxa"/>
          </w:tcPr>
          <w:p w:rsidR="0020499E" w:rsidRDefault="008E27E1">
            <w:pPr>
              <w:jc w:val="center"/>
              <w:rPr>
                <w:rFonts w:cs="Sylfaen"/>
                <w:color w:val="000000"/>
              </w:rPr>
            </w:pPr>
            <w:r>
              <w:rPr>
                <w:rFonts w:cs="Sylfaen"/>
                <w:color w:val="000000"/>
              </w:rPr>
              <w:t>18,5</w:t>
            </w:r>
          </w:p>
        </w:tc>
      </w:tr>
      <w:tr w:rsidR="0020499E">
        <w:trPr>
          <w:trHeight w:val="112"/>
        </w:trPr>
        <w:tc>
          <w:tcPr>
            <w:tcW w:w="4361" w:type="dxa"/>
          </w:tcPr>
          <w:p w:rsidR="0020499E" w:rsidRDefault="008E27E1">
            <w:pPr>
              <w:rPr>
                <w:rFonts w:cs="Sylfaen"/>
                <w:color w:val="000000"/>
              </w:rPr>
            </w:pPr>
            <w:r>
              <w:rPr>
                <w:rFonts w:cs="Sylfaen"/>
                <w:color w:val="000000"/>
              </w:rPr>
              <w:t xml:space="preserve">As % of GDP </w:t>
            </w:r>
          </w:p>
        </w:tc>
        <w:tc>
          <w:tcPr>
            <w:tcW w:w="992" w:type="dxa"/>
          </w:tcPr>
          <w:p w:rsidR="0020499E" w:rsidRDefault="008E27E1">
            <w:pPr>
              <w:jc w:val="center"/>
              <w:rPr>
                <w:rFonts w:cs="Sylfaen"/>
                <w:color w:val="000000"/>
              </w:rPr>
            </w:pPr>
            <w:r>
              <w:rPr>
                <w:rFonts w:cs="Sylfaen"/>
                <w:color w:val="000000"/>
              </w:rPr>
              <w:t>0,16</w:t>
            </w:r>
          </w:p>
        </w:tc>
        <w:tc>
          <w:tcPr>
            <w:tcW w:w="1134" w:type="dxa"/>
          </w:tcPr>
          <w:p w:rsidR="0020499E" w:rsidRDefault="008E27E1">
            <w:pPr>
              <w:jc w:val="center"/>
              <w:rPr>
                <w:rFonts w:cs="Sylfaen"/>
                <w:color w:val="000000"/>
              </w:rPr>
            </w:pPr>
            <w:r>
              <w:rPr>
                <w:rFonts w:cs="Sylfaen"/>
                <w:color w:val="000000"/>
              </w:rPr>
              <w:t>0,22</w:t>
            </w:r>
          </w:p>
        </w:tc>
        <w:tc>
          <w:tcPr>
            <w:tcW w:w="992" w:type="dxa"/>
          </w:tcPr>
          <w:p w:rsidR="0020499E" w:rsidRDefault="008E27E1">
            <w:pPr>
              <w:jc w:val="center"/>
              <w:rPr>
                <w:rFonts w:cs="Sylfaen"/>
                <w:color w:val="000000"/>
              </w:rPr>
            </w:pPr>
            <w:r>
              <w:rPr>
                <w:rFonts w:cs="Sylfaen"/>
                <w:color w:val="000000"/>
              </w:rPr>
              <w:t>0,18</w:t>
            </w:r>
          </w:p>
        </w:tc>
        <w:tc>
          <w:tcPr>
            <w:tcW w:w="1134" w:type="dxa"/>
          </w:tcPr>
          <w:p w:rsidR="0020499E" w:rsidRDefault="008E27E1">
            <w:pPr>
              <w:jc w:val="center"/>
              <w:rPr>
                <w:rFonts w:cs="Sylfaen"/>
                <w:color w:val="000000"/>
              </w:rPr>
            </w:pPr>
            <w:r>
              <w:rPr>
                <w:rFonts w:cs="Sylfaen"/>
                <w:color w:val="000000"/>
              </w:rPr>
              <w:t>0,09</w:t>
            </w:r>
          </w:p>
        </w:tc>
        <w:tc>
          <w:tcPr>
            <w:tcW w:w="1134" w:type="dxa"/>
          </w:tcPr>
          <w:p w:rsidR="0020499E" w:rsidRDefault="008E27E1">
            <w:pPr>
              <w:jc w:val="center"/>
              <w:rPr>
                <w:rFonts w:cs="Sylfaen"/>
                <w:color w:val="000000"/>
              </w:rPr>
            </w:pPr>
            <w:r>
              <w:rPr>
                <w:rFonts w:cs="Sylfaen"/>
                <w:color w:val="000000"/>
              </w:rPr>
              <w:t>0,07</w:t>
            </w:r>
          </w:p>
        </w:tc>
      </w:tr>
      <w:tr w:rsidR="0020499E">
        <w:trPr>
          <w:trHeight w:val="256"/>
        </w:trPr>
        <w:tc>
          <w:tcPr>
            <w:tcW w:w="4361" w:type="dxa"/>
          </w:tcPr>
          <w:p w:rsidR="0020499E" w:rsidRDefault="008E27E1">
            <w:pPr>
              <w:rPr>
                <w:rFonts w:cs="Sylfaen"/>
                <w:color w:val="000000"/>
              </w:rPr>
            </w:pPr>
            <w:r>
              <w:rPr>
                <w:rFonts w:cs="Sylfaen"/>
                <w:color w:val="000000"/>
              </w:rPr>
              <w:t>HE and research programs** Million GeL</w:t>
            </w:r>
          </w:p>
        </w:tc>
        <w:tc>
          <w:tcPr>
            <w:tcW w:w="992" w:type="dxa"/>
          </w:tcPr>
          <w:p w:rsidR="0020499E" w:rsidRDefault="008E27E1">
            <w:pPr>
              <w:jc w:val="center"/>
              <w:rPr>
                <w:rFonts w:cs="Sylfaen"/>
                <w:color w:val="000000"/>
              </w:rPr>
            </w:pPr>
            <w:r>
              <w:rPr>
                <w:rFonts w:cs="Sylfaen"/>
                <w:color w:val="000000"/>
              </w:rPr>
              <w:t>52,6</w:t>
            </w:r>
          </w:p>
        </w:tc>
        <w:tc>
          <w:tcPr>
            <w:tcW w:w="1134" w:type="dxa"/>
          </w:tcPr>
          <w:p w:rsidR="0020499E" w:rsidRDefault="008E27E1">
            <w:pPr>
              <w:jc w:val="center"/>
              <w:rPr>
                <w:rFonts w:cs="Sylfaen"/>
                <w:color w:val="000000"/>
              </w:rPr>
            </w:pPr>
            <w:r>
              <w:rPr>
                <w:rFonts w:cs="Sylfaen"/>
                <w:color w:val="000000"/>
              </w:rPr>
              <w:t>58,2</w:t>
            </w:r>
          </w:p>
        </w:tc>
        <w:tc>
          <w:tcPr>
            <w:tcW w:w="992" w:type="dxa"/>
          </w:tcPr>
          <w:p w:rsidR="0020499E" w:rsidRDefault="008E27E1">
            <w:pPr>
              <w:jc w:val="center"/>
              <w:rPr>
                <w:rFonts w:cs="Sylfaen"/>
                <w:color w:val="000000"/>
              </w:rPr>
            </w:pPr>
            <w:r>
              <w:rPr>
                <w:rFonts w:cs="Sylfaen"/>
                <w:color w:val="000000"/>
              </w:rPr>
              <w:t>51,5</w:t>
            </w:r>
          </w:p>
        </w:tc>
        <w:tc>
          <w:tcPr>
            <w:tcW w:w="1134" w:type="dxa"/>
          </w:tcPr>
          <w:p w:rsidR="0020499E" w:rsidRDefault="008E27E1">
            <w:pPr>
              <w:jc w:val="center"/>
              <w:rPr>
                <w:rFonts w:cs="Sylfaen"/>
                <w:color w:val="000000"/>
              </w:rPr>
            </w:pPr>
            <w:r>
              <w:rPr>
                <w:rFonts w:cs="Sylfaen"/>
                <w:color w:val="000000"/>
              </w:rPr>
              <w:t>32,6</w:t>
            </w:r>
          </w:p>
        </w:tc>
        <w:tc>
          <w:tcPr>
            <w:tcW w:w="1134" w:type="dxa"/>
          </w:tcPr>
          <w:p w:rsidR="0020499E" w:rsidRDefault="008E27E1">
            <w:pPr>
              <w:jc w:val="center"/>
              <w:rPr>
                <w:rFonts w:cs="Sylfaen"/>
                <w:color w:val="000000"/>
              </w:rPr>
            </w:pPr>
            <w:r>
              <w:rPr>
                <w:rFonts w:cs="Sylfaen"/>
                <w:color w:val="000000"/>
              </w:rPr>
              <w:t>33,2</w:t>
            </w:r>
          </w:p>
        </w:tc>
      </w:tr>
      <w:tr w:rsidR="0020499E">
        <w:trPr>
          <w:trHeight w:val="112"/>
        </w:trPr>
        <w:tc>
          <w:tcPr>
            <w:tcW w:w="4361" w:type="dxa"/>
          </w:tcPr>
          <w:p w:rsidR="0020499E" w:rsidRDefault="008E27E1">
            <w:pPr>
              <w:rPr>
                <w:rFonts w:cs="Sylfaen"/>
                <w:color w:val="000000"/>
              </w:rPr>
            </w:pPr>
            <w:r>
              <w:rPr>
                <w:rFonts w:cs="Sylfaen"/>
                <w:color w:val="000000"/>
              </w:rPr>
              <w:t>As % of GDP</w:t>
            </w:r>
          </w:p>
        </w:tc>
        <w:tc>
          <w:tcPr>
            <w:tcW w:w="992" w:type="dxa"/>
          </w:tcPr>
          <w:p w:rsidR="0020499E" w:rsidRDefault="008E27E1">
            <w:pPr>
              <w:jc w:val="center"/>
              <w:rPr>
                <w:rFonts w:cs="Sylfaen"/>
                <w:color w:val="000000"/>
              </w:rPr>
            </w:pPr>
            <w:r>
              <w:rPr>
                <w:rFonts w:cs="Sylfaen"/>
                <w:color w:val="000000"/>
              </w:rPr>
              <w:t>0,28</w:t>
            </w:r>
          </w:p>
        </w:tc>
        <w:tc>
          <w:tcPr>
            <w:tcW w:w="1134" w:type="dxa"/>
          </w:tcPr>
          <w:p w:rsidR="0020499E" w:rsidRDefault="008E27E1">
            <w:pPr>
              <w:jc w:val="center"/>
              <w:rPr>
                <w:rFonts w:cs="Sylfaen"/>
                <w:color w:val="000000"/>
              </w:rPr>
            </w:pPr>
            <w:r>
              <w:rPr>
                <w:rFonts w:cs="Sylfaen"/>
                <w:color w:val="000000"/>
              </w:rPr>
              <w:t>0,32</w:t>
            </w:r>
          </w:p>
        </w:tc>
        <w:tc>
          <w:tcPr>
            <w:tcW w:w="992" w:type="dxa"/>
          </w:tcPr>
          <w:p w:rsidR="0020499E" w:rsidRDefault="008E27E1">
            <w:pPr>
              <w:jc w:val="center"/>
              <w:rPr>
                <w:rFonts w:cs="Sylfaen"/>
                <w:color w:val="000000"/>
              </w:rPr>
            </w:pPr>
            <w:r>
              <w:rPr>
                <w:rFonts w:cs="Sylfaen"/>
                <w:color w:val="000000"/>
              </w:rPr>
              <w:t>0,25</w:t>
            </w:r>
          </w:p>
        </w:tc>
        <w:tc>
          <w:tcPr>
            <w:tcW w:w="1134" w:type="dxa"/>
          </w:tcPr>
          <w:p w:rsidR="0020499E" w:rsidRDefault="008E27E1">
            <w:pPr>
              <w:jc w:val="center"/>
              <w:rPr>
                <w:rFonts w:cs="Sylfaen"/>
                <w:color w:val="000000"/>
              </w:rPr>
            </w:pPr>
            <w:r>
              <w:rPr>
                <w:rFonts w:cs="Sylfaen"/>
                <w:color w:val="000000"/>
              </w:rPr>
              <w:t>0,13</w:t>
            </w:r>
          </w:p>
        </w:tc>
        <w:tc>
          <w:tcPr>
            <w:tcW w:w="1134" w:type="dxa"/>
          </w:tcPr>
          <w:p w:rsidR="0020499E" w:rsidRDefault="008E27E1">
            <w:pPr>
              <w:jc w:val="center"/>
              <w:rPr>
                <w:rFonts w:cs="Sylfaen"/>
                <w:color w:val="000000"/>
              </w:rPr>
            </w:pPr>
            <w:r>
              <w:rPr>
                <w:rFonts w:cs="Sylfaen"/>
                <w:color w:val="000000"/>
              </w:rPr>
              <w:t>0,13</w:t>
            </w:r>
          </w:p>
        </w:tc>
      </w:tr>
      <w:tr w:rsidR="0020499E">
        <w:trPr>
          <w:trHeight w:val="112"/>
        </w:trPr>
        <w:tc>
          <w:tcPr>
            <w:tcW w:w="4361" w:type="dxa"/>
          </w:tcPr>
          <w:p w:rsidR="0020499E" w:rsidRDefault="008E27E1">
            <w:pPr>
              <w:rPr>
                <w:rFonts w:cs="Sylfaen"/>
                <w:color w:val="000000"/>
              </w:rPr>
            </w:pPr>
            <w:r>
              <w:rPr>
                <w:rFonts w:cs="Sylfaen"/>
                <w:color w:val="000000"/>
              </w:rPr>
              <w:t xml:space="preserve">Number of PhD students </w:t>
            </w:r>
          </w:p>
        </w:tc>
        <w:tc>
          <w:tcPr>
            <w:tcW w:w="992" w:type="dxa"/>
          </w:tcPr>
          <w:p w:rsidR="0020499E" w:rsidRDefault="008E27E1">
            <w:pPr>
              <w:jc w:val="center"/>
              <w:rPr>
                <w:rFonts w:cs="Sylfaen"/>
                <w:color w:val="000000"/>
              </w:rPr>
            </w:pPr>
            <w:r>
              <w:rPr>
                <w:rFonts w:cs="Sylfaen"/>
                <w:color w:val="000000"/>
              </w:rPr>
              <w:t>1588</w:t>
            </w:r>
          </w:p>
        </w:tc>
        <w:tc>
          <w:tcPr>
            <w:tcW w:w="1134" w:type="dxa"/>
          </w:tcPr>
          <w:p w:rsidR="0020499E" w:rsidRDefault="008E27E1">
            <w:pPr>
              <w:jc w:val="center"/>
              <w:rPr>
                <w:rFonts w:cs="Sylfaen"/>
                <w:color w:val="000000"/>
              </w:rPr>
            </w:pPr>
            <w:r>
              <w:rPr>
                <w:rFonts w:cs="Sylfaen"/>
                <w:color w:val="000000"/>
              </w:rPr>
              <w:t>2986</w:t>
            </w:r>
          </w:p>
        </w:tc>
        <w:tc>
          <w:tcPr>
            <w:tcW w:w="992" w:type="dxa"/>
          </w:tcPr>
          <w:p w:rsidR="0020499E" w:rsidRDefault="008E27E1">
            <w:pPr>
              <w:jc w:val="center"/>
              <w:rPr>
                <w:rFonts w:cs="Sylfaen"/>
                <w:color w:val="000000"/>
              </w:rPr>
            </w:pPr>
            <w:r>
              <w:rPr>
                <w:rFonts w:cs="Sylfaen"/>
                <w:color w:val="000000"/>
              </w:rPr>
              <w:t>-</w:t>
            </w:r>
          </w:p>
        </w:tc>
        <w:tc>
          <w:tcPr>
            <w:tcW w:w="1134" w:type="dxa"/>
          </w:tcPr>
          <w:p w:rsidR="0020499E" w:rsidRDefault="008E27E1">
            <w:pPr>
              <w:jc w:val="center"/>
              <w:rPr>
                <w:rFonts w:cs="Sylfaen"/>
                <w:color w:val="000000"/>
              </w:rPr>
            </w:pPr>
            <w:r>
              <w:rPr>
                <w:rFonts w:cs="Sylfaen"/>
                <w:color w:val="000000"/>
              </w:rPr>
              <w:t>4266</w:t>
            </w:r>
          </w:p>
        </w:tc>
        <w:tc>
          <w:tcPr>
            <w:tcW w:w="1134" w:type="dxa"/>
          </w:tcPr>
          <w:p w:rsidR="0020499E" w:rsidRDefault="0020499E">
            <w:pPr>
              <w:pStyle w:val="ListParagraph"/>
              <w:numPr>
                <w:ilvl w:val="0"/>
                <w:numId w:val="37"/>
              </w:numPr>
              <w:jc w:val="center"/>
              <w:rPr>
                <w:rFonts w:ascii="Verdana" w:hAnsi="Verdana" w:cs="Sylfaen"/>
                <w:color w:val="000000"/>
                <w:sz w:val="20"/>
                <w:szCs w:val="20"/>
              </w:rPr>
            </w:pPr>
          </w:p>
        </w:tc>
      </w:tr>
    </w:tbl>
    <w:p w:rsidR="0020499E" w:rsidRDefault="0020499E">
      <w:pPr>
        <w:ind w:firstLine="720"/>
      </w:pPr>
    </w:p>
    <w:p w:rsidR="0020499E" w:rsidRDefault="0020499E">
      <w:pPr>
        <w:pStyle w:val="ListParagraph"/>
        <w:rPr>
          <w:rFonts w:ascii="Verdana" w:hAnsi="Verdana"/>
          <w:b/>
          <w:sz w:val="20"/>
          <w:szCs w:val="20"/>
        </w:rPr>
      </w:pPr>
    </w:p>
    <w:p w:rsidR="0020499E" w:rsidRDefault="0020499E">
      <w:pPr>
        <w:pStyle w:val="ListParagraph"/>
        <w:rPr>
          <w:rFonts w:ascii="Verdana" w:hAnsi="Verdana"/>
          <w:b/>
          <w:sz w:val="20"/>
          <w:szCs w:val="20"/>
        </w:rPr>
      </w:pPr>
    </w:p>
    <w:p w:rsidR="0020499E" w:rsidRDefault="0020499E">
      <w:pPr>
        <w:pStyle w:val="ListParagraph"/>
        <w:rPr>
          <w:rFonts w:ascii="Verdana" w:hAnsi="Verdana"/>
          <w:b/>
          <w:sz w:val="20"/>
          <w:szCs w:val="20"/>
        </w:rPr>
      </w:pPr>
    </w:p>
    <w:p w:rsidR="0020499E" w:rsidRDefault="008E27E1">
      <w:pPr>
        <w:pStyle w:val="ListParagraph"/>
        <w:rPr>
          <w:rFonts w:ascii="Verdana" w:hAnsi="Verdana"/>
          <w:b/>
          <w:sz w:val="20"/>
          <w:szCs w:val="20"/>
        </w:rPr>
      </w:pPr>
      <w:r>
        <w:rPr>
          <w:rFonts w:ascii="Verdana" w:hAnsi="Verdana"/>
          <w:b/>
          <w:sz w:val="20"/>
          <w:szCs w:val="20"/>
        </w:rPr>
        <w:t>b. SRNSF funding by years (2007-2013)</w:t>
      </w:r>
    </w:p>
    <w:p w:rsidR="0020499E" w:rsidRDefault="0020499E">
      <w:pPr>
        <w:pStyle w:val="ListParagraph"/>
        <w:rPr>
          <w:rFonts w:ascii="Verdana" w:hAnsi="Verdana"/>
          <w:sz w:val="20"/>
          <w:szCs w:val="20"/>
        </w:rPr>
      </w:pPr>
    </w:p>
    <w:tbl>
      <w:tblPr>
        <w:tblW w:w="9677" w:type="dxa"/>
        <w:tblInd w:w="93" w:type="dxa"/>
        <w:tblLook w:val="04A0"/>
      </w:tblPr>
      <w:tblGrid>
        <w:gridCol w:w="2405"/>
        <w:gridCol w:w="2848"/>
        <w:gridCol w:w="2799"/>
        <w:gridCol w:w="1625"/>
      </w:tblGrid>
      <w:tr w:rsidR="0020499E">
        <w:trPr>
          <w:trHeight w:val="477"/>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499E" w:rsidRDefault="008E27E1">
            <w:pPr>
              <w:jc w:val="center"/>
              <w:rPr>
                <w:rFonts w:eastAsia="Times New Roman"/>
                <w:b/>
                <w:color w:val="000000"/>
              </w:rPr>
            </w:pPr>
            <w:r>
              <w:rPr>
                <w:rFonts w:eastAsia="Times New Roman" w:cs="Sylfaen"/>
                <w:b/>
                <w:color w:val="000000"/>
              </w:rPr>
              <w:t>Organizations</w:t>
            </w:r>
          </w:p>
        </w:tc>
        <w:tc>
          <w:tcPr>
            <w:tcW w:w="2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499E" w:rsidRDefault="008E27E1">
            <w:pPr>
              <w:jc w:val="center"/>
              <w:rPr>
                <w:rFonts w:eastAsia="Times New Roman"/>
                <w:b/>
                <w:color w:val="000000"/>
              </w:rPr>
            </w:pPr>
            <w:r>
              <w:rPr>
                <w:rFonts w:eastAsia="Times New Roman" w:cs="Sylfaen"/>
                <w:b/>
                <w:color w:val="000000"/>
              </w:rPr>
              <w:t>Budget/research grants</w:t>
            </w:r>
          </w:p>
        </w:tc>
        <w:tc>
          <w:tcPr>
            <w:tcW w:w="27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499E" w:rsidRDefault="008E27E1">
            <w:pPr>
              <w:jc w:val="center"/>
              <w:rPr>
                <w:rFonts w:eastAsia="Times New Roman"/>
                <w:b/>
                <w:color w:val="000000"/>
              </w:rPr>
            </w:pPr>
            <w:r>
              <w:rPr>
                <w:rFonts w:eastAsia="Times New Roman" w:cs="Sylfaen"/>
                <w:b/>
                <w:color w:val="000000"/>
              </w:rPr>
              <w:t>Budget/administration</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499E" w:rsidRDefault="008E27E1">
            <w:pPr>
              <w:jc w:val="center"/>
              <w:rPr>
                <w:rFonts w:eastAsia="Times New Roman"/>
                <w:b/>
                <w:color w:val="000000"/>
              </w:rPr>
            </w:pPr>
            <w:r>
              <w:rPr>
                <w:rFonts w:eastAsia="Times New Roman" w:cs="Sylfaen"/>
                <w:b/>
                <w:color w:val="000000"/>
              </w:rPr>
              <w:t>Year</w:t>
            </w:r>
          </w:p>
        </w:tc>
      </w:tr>
      <w:tr w:rsidR="0020499E">
        <w:trPr>
          <w:trHeight w:val="300"/>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GNSF</w:t>
            </w:r>
          </w:p>
        </w:tc>
        <w:tc>
          <w:tcPr>
            <w:tcW w:w="2872" w:type="dxa"/>
            <w:tcBorders>
              <w:top w:val="nil"/>
              <w:left w:val="nil"/>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6,569,448</w:t>
            </w:r>
          </w:p>
        </w:tc>
        <w:tc>
          <w:tcPr>
            <w:tcW w:w="2725" w:type="dxa"/>
            <w:tcBorders>
              <w:top w:val="nil"/>
              <w:left w:val="nil"/>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447,322</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2007</w:t>
            </w:r>
          </w:p>
        </w:tc>
      </w:tr>
      <w:tr w:rsidR="0020499E">
        <w:trPr>
          <w:trHeight w:val="300"/>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GNSF</w:t>
            </w:r>
          </w:p>
        </w:tc>
        <w:tc>
          <w:tcPr>
            <w:tcW w:w="2872" w:type="dxa"/>
            <w:tcBorders>
              <w:top w:val="nil"/>
              <w:left w:val="nil"/>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9,323,731</w:t>
            </w:r>
          </w:p>
        </w:tc>
        <w:tc>
          <w:tcPr>
            <w:tcW w:w="2725" w:type="dxa"/>
            <w:tcBorders>
              <w:top w:val="nil"/>
              <w:left w:val="nil"/>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482,364</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2008</w:t>
            </w:r>
          </w:p>
        </w:tc>
      </w:tr>
      <w:tr w:rsidR="0020499E">
        <w:trPr>
          <w:trHeight w:val="300"/>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GNSF</w:t>
            </w:r>
          </w:p>
        </w:tc>
        <w:tc>
          <w:tcPr>
            <w:tcW w:w="2872" w:type="dxa"/>
            <w:tcBorders>
              <w:top w:val="nil"/>
              <w:left w:val="nil"/>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15,770,979</w:t>
            </w:r>
          </w:p>
        </w:tc>
        <w:tc>
          <w:tcPr>
            <w:tcW w:w="2725" w:type="dxa"/>
            <w:tcBorders>
              <w:top w:val="nil"/>
              <w:left w:val="nil"/>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740,377</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2009</w:t>
            </w:r>
          </w:p>
        </w:tc>
      </w:tr>
      <w:tr w:rsidR="0020499E">
        <w:trPr>
          <w:trHeight w:val="300"/>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RF</w:t>
            </w:r>
          </w:p>
        </w:tc>
        <w:tc>
          <w:tcPr>
            <w:tcW w:w="2872" w:type="dxa"/>
            <w:tcBorders>
              <w:top w:val="nil"/>
              <w:left w:val="nil"/>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2,465,000</w:t>
            </w:r>
          </w:p>
        </w:tc>
        <w:tc>
          <w:tcPr>
            <w:tcW w:w="2725" w:type="dxa"/>
            <w:tcBorders>
              <w:top w:val="nil"/>
              <w:left w:val="nil"/>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331,900</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2008</w:t>
            </w:r>
          </w:p>
        </w:tc>
      </w:tr>
      <w:tr w:rsidR="0020499E">
        <w:trPr>
          <w:trHeight w:val="300"/>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RF</w:t>
            </w:r>
          </w:p>
        </w:tc>
        <w:tc>
          <w:tcPr>
            <w:tcW w:w="2872" w:type="dxa"/>
            <w:tcBorders>
              <w:top w:val="nil"/>
              <w:left w:val="nil"/>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4,402,800</w:t>
            </w:r>
          </w:p>
        </w:tc>
        <w:tc>
          <w:tcPr>
            <w:tcW w:w="2725" w:type="dxa"/>
            <w:tcBorders>
              <w:top w:val="nil"/>
              <w:left w:val="nil"/>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431,900</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2009</w:t>
            </w:r>
          </w:p>
        </w:tc>
      </w:tr>
      <w:tr w:rsidR="0020499E">
        <w:trPr>
          <w:trHeight w:val="300"/>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SRNSF</w:t>
            </w:r>
          </w:p>
        </w:tc>
        <w:tc>
          <w:tcPr>
            <w:tcW w:w="2872" w:type="dxa"/>
            <w:tcBorders>
              <w:top w:val="nil"/>
              <w:left w:val="nil"/>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20,919,290</w:t>
            </w:r>
          </w:p>
        </w:tc>
        <w:tc>
          <w:tcPr>
            <w:tcW w:w="2725" w:type="dxa"/>
            <w:tcBorders>
              <w:top w:val="nil"/>
              <w:left w:val="nil"/>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1,514,420</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2010</w:t>
            </w:r>
          </w:p>
        </w:tc>
      </w:tr>
      <w:tr w:rsidR="0020499E">
        <w:trPr>
          <w:trHeight w:val="300"/>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SRNSF</w:t>
            </w:r>
          </w:p>
        </w:tc>
        <w:tc>
          <w:tcPr>
            <w:tcW w:w="2872" w:type="dxa"/>
            <w:tcBorders>
              <w:top w:val="nil"/>
              <w:left w:val="nil"/>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23,699,000</w:t>
            </w:r>
          </w:p>
        </w:tc>
        <w:tc>
          <w:tcPr>
            <w:tcW w:w="2725" w:type="dxa"/>
            <w:tcBorders>
              <w:top w:val="nil"/>
              <w:left w:val="nil"/>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1,175,500</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2011</w:t>
            </w:r>
          </w:p>
        </w:tc>
      </w:tr>
      <w:tr w:rsidR="0020499E">
        <w:trPr>
          <w:trHeight w:val="300"/>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SRNSF</w:t>
            </w:r>
          </w:p>
        </w:tc>
        <w:tc>
          <w:tcPr>
            <w:tcW w:w="2872" w:type="dxa"/>
            <w:tcBorders>
              <w:top w:val="nil"/>
              <w:left w:val="nil"/>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12,184,757</w:t>
            </w:r>
          </w:p>
        </w:tc>
        <w:tc>
          <w:tcPr>
            <w:tcW w:w="2725" w:type="dxa"/>
            <w:tcBorders>
              <w:top w:val="nil"/>
              <w:left w:val="nil"/>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1,228,420</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2012</w:t>
            </w:r>
          </w:p>
        </w:tc>
      </w:tr>
      <w:tr w:rsidR="0020499E">
        <w:trPr>
          <w:trHeight w:val="300"/>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SRNSF</w:t>
            </w:r>
          </w:p>
        </w:tc>
        <w:tc>
          <w:tcPr>
            <w:tcW w:w="2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20,053,600</w:t>
            </w:r>
          </w:p>
        </w:tc>
        <w:tc>
          <w:tcPr>
            <w:tcW w:w="27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1,125,200</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499E" w:rsidRDefault="008E27E1">
            <w:pPr>
              <w:jc w:val="center"/>
              <w:rPr>
                <w:rFonts w:eastAsia="Times New Roman"/>
                <w:color w:val="000000"/>
              </w:rPr>
            </w:pPr>
            <w:r>
              <w:rPr>
                <w:rFonts w:eastAsia="Times New Roman"/>
                <w:color w:val="000000"/>
              </w:rPr>
              <w:t>2013</w:t>
            </w:r>
          </w:p>
        </w:tc>
      </w:tr>
    </w:tbl>
    <w:p w:rsidR="0020499E" w:rsidRDefault="008E27E1">
      <w:pPr>
        <w:tabs>
          <w:tab w:val="left" w:pos="1596"/>
        </w:tabs>
        <w:ind w:left="93"/>
        <w:rPr>
          <w:rFonts w:eastAsia="Times New Roman"/>
          <w:color w:val="000000"/>
        </w:rPr>
      </w:pPr>
      <w:r>
        <w:rPr>
          <w:rFonts w:eastAsia="Times New Roman"/>
          <w:color w:val="000000"/>
        </w:rPr>
        <w:t>Sources: SRNSF</w:t>
      </w:r>
    </w:p>
    <w:p w:rsidR="0020499E" w:rsidRDefault="0020499E">
      <w:pPr>
        <w:tabs>
          <w:tab w:val="left" w:pos="1596"/>
        </w:tabs>
        <w:ind w:left="93"/>
        <w:rPr>
          <w:rFonts w:eastAsia="Times New Roman"/>
          <w:color w:val="000000"/>
        </w:rPr>
      </w:pPr>
    </w:p>
    <w:p w:rsidR="0020499E" w:rsidRDefault="008E27E1">
      <w:pPr>
        <w:tabs>
          <w:tab w:val="left" w:pos="1596"/>
        </w:tabs>
        <w:ind w:left="93"/>
        <w:rPr>
          <w:rFonts w:eastAsia="Times New Roman"/>
          <w:color w:val="000000"/>
        </w:rPr>
      </w:pPr>
      <w:r>
        <w:rPr>
          <w:rFonts w:eastAsia="Times New Roman"/>
          <w:color w:val="000000"/>
        </w:rPr>
        <w:t>GNSF</w:t>
      </w:r>
      <w:r>
        <w:rPr>
          <w:rFonts w:eastAsia="Times New Roman"/>
          <w:color w:val="000000"/>
        </w:rPr>
        <w:tab/>
      </w:r>
      <w:r>
        <w:rPr>
          <w:rFonts w:eastAsia="Times New Roman" w:cs="Sylfaen"/>
          <w:color w:val="000000"/>
        </w:rPr>
        <w:t xml:space="preserve">Georgian National Science Foundation </w:t>
      </w:r>
    </w:p>
    <w:p w:rsidR="0020499E" w:rsidRDefault="008E27E1">
      <w:pPr>
        <w:tabs>
          <w:tab w:val="left" w:pos="1596"/>
        </w:tabs>
        <w:ind w:left="93"/>
        <w:rPr>
          <w:rFonts w:eastAsia="Times New Roman"/>
          <w:color w:val="000000"/>
        </w:rPr>
      </w:pPr>
      <w:r>
        <w:rPr>
          <w:rFonts w:eastAsia="Times New Roman"/>
          <w:color w:val="000000"/>
        </w:rPr>
        <w:t>RF</w:t>
      </w:r>
      <w:r>
        <w:rPr>
          <w:rFonts w:eastAsia="Times New Roman"/>
          <w:color w:val="000000"/>
        </w:rPr>
        <w:tab/>
      </w:r>
      <w:r>
        <w:rPr>
          <w:rFonts w:eastAsia="Times New Roman" w:cs="Sylfaen"/>
          <w:color w:val="000000"/>
        </w:rPr>
        <w:t>Rustaveli Foundation</w:t>
      </w:r>
    </w:p>
    <w:p w:rsidR="0020499E" w:rsidRDefault="008E27E1">
      <w:pPr>
        <w:tabs>
          <w:tab w:val="left" w:pos="1596"/>
        </w:tabs>
        <w:ind w:left="93"/>
        <w:rPr>
          <w:rFonts w:eastAsia="Times New Roman" w:cs="Sylfaen"/>
          <w:color w:val="000000"/>
        </w:rPr>
      </w:pPr>
      <w:r>
        <w:rPr>
          <w:rFonts w:eastAsia="Times New Roman"/>
          <w:color w:val="000000"/>
        </w:rPr>
        <w:t>SRNSF</w:t>
      </w:r>
      <w:r>
        <w:rPr>
          <w:rFonts w:eastAsia="Times New Roman"/>
          <w:color w:val="000000"/>
        </w:rPr>
        <w:tab/>
      </w:r>
      <w:r>
        <w:rPr>
          <w:rFonts w:eastAsia="Times New Roman" w:cs="Sylfaen"/>
          <w:color w:val="000000"/>
        </w:rPr>
        <w:t>ShotaRustaveli National Science Foundation</w:t>
      </w:r>
    </w:p>
    <w:p w:rsidR="0020499E" w:rsidRDefault="0020499E">
      <w:pPr>
        <w:tabs>
          <w:tab w:val="left" w:pos="1596"/>
        </w:tabs>
        <w:ind w:left="93"/>
        <w:rPr>
          <w:rFonts w:eastAsia="Times New Roman"/>
          <w:color w:val="000000"/>
        </w:rPr>
      </w:pPr>
    </w:p>
    <w:p w:rsidR="0020499E" w:rsidRDefault="0020499E">
      <w:pPr>
        <w:tabs>
          <w:tab w:val="left" w:pos="1596"/>
        </w:tabs>
        <w:ind w:left="93"/>
        <w:rPr>
          <w:rFonts w:eastAsia="Times New Roman"/>
          <w:color w:val="000000"/>
        </w:rPr>
      </w:pPr>
    </w:p>
    <w:p w:rsidR="0020499E" w:rsidRDefault="0020499E">
      <w:pPr>
        <w:tabs>
          <w:tab w:val="left" w:pos="1596"/>
        </w:tabs>
        <w:ind w:left="93"/>
        <w:rPr>
          <w:rFonts w:eastAsia="Times New Roman"/>
          <w:color w:val="000000"/>
        </w:rPr>
      </w:pPr>
    </w:p>
    <w:p w:rsidR="0020499E" w:rsidRDefault="008E27E1">
      <w:pPr>
        <w:ind w:left="360"/>
        <w:rPr>
          <w:b/>
        </w:rPr>
      </w:pPr>
      <w:r>
        <w:rPr>
          <w:b/>
        </w:rPr>
        <w:t>c. Researchers by age categories (Georgia)</w:t>
      </w:r>
    </w:p>
    <w:p w:rsidR="0020499E" w:rsidRDefault="0020499E">
      <w:pPr>
        <w:ind w:firstLine="720"/>
      </w:pPr>
    </w:p>
    <w:tbl>
      <w:tblPr>
        <w:tblW w:w="574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0"/>
        <w:gridCol w:w="960"/>
      </w:tblGrid>
      <w:tr w:rsidR="0020499E">
        <w:trPr>
          <w:trHeight w:val="288"/>
        </w:trPr>
        <w:tc>
          <w:tcPr>
            <w:tcW w:w="4780" w:type="dxa"/>
            <w:shd w:val="clear" w:color="auto" w:fill="auto"/>
            <w:noWrap/>
            <w:vAlign w:val="center"/>
            <w:hideMark/>
          </w:tcPr>
          <w:p w:rsidR="0020499E" w:rsidRDefault="008E27E1">
            <w:pPr>
              <w:jc w:val="center"/>
              <w:rPr>
                <w:rFonts w:eastAsia="Times New Roman"/>
                <w:color w:val="000000"/>
              </w:rPr>
            </w:pPr>
            <w:r>
              <w:rPr>
                <w:rFonts w:eastAsia="Times New Roman" w:cs="Sylfaen"/>
                <w:color w:val="000000"/>
              </w:rPr>
              <w:t>Average age of researchers</w:t>
            </w:r>
          </w:p>
        </w:tc>
        <w:tc>
          <w:tcPr>
            <w:tcW w:w="960" w:type="dxa"/>
            <w:shd w:val="clear" w:color="auto" w:fill="auto"/>
            <w:noWrap/>
            <w:vAlign w:val="bottom"/>
            <w:hideMark/>
          </w:tcPr>
          <w:p w:rsidR="0020499E" w:rsidRDefault="008E27E1">
            <w:pPr>
              <w:jc w:val="right"/>
              <w:rPr>
                <w:rFonts w:eastAsia="Times New Roman"/>
                <w:color w:val="000000"/>
              </w:rPr>
            </w:pPr>
            <w:r>
              <w:rPr>
                <w:rFonts w:eastAsia="Times New Roman"/>
                <w:color w:val="000000"/>
              </w:rPr>
              <w:t>56</w:t>
            </w:r>
          </w:p>
        </w:tc>
      </w:tr>
      <w:tr w:rsidR="0020499E">
        <w:trPr>
          <w:trHeight w:val="288"/>
        </w:trPr>
        <w:tc>
          <w:tcPr>
            <w:tcW w:w="4780" w:type="dxa"/>
            <w:shd w:val="clear" w:color="auto" w:fill="auto"/>
            <w:noWrap/>
            <w:vAlign w:val="center"/>
            <w:hideMark/>
          </w:tcPr>
          <w:p w:rsidR="0020499E" w:rsidRDefault="008E27E1">
            <w:pPr>
              <w:jc w:val="center"/>
              <w:rPr>
                <w:rFonts w:eastAsia="Times New Roman"/>
                <w:color w:val="000000"/>
              </w:rPr>
            </w:pPr>
            <w:r>
              <w:rPr>
                <w:rFonts w:eastAsia="Times New Roman"/>
                <w:color w:val="000000"/>
              </w:rPr>
              <w:t xml:space="preserve">More than 65 years </w:t>
            </w:r>
          </w:p>
        </w:tc>
        <w:tc>
          <w:tcPr>
            <w:tcW w:w="960" w:type="dxa"/>
            <w:shd w:val="clear" w:color="auto" w:fill="auto"/>
            <w:noWrap/>
            <w:vAlign w:val="bottom"/>
            <w:hideMark/>
          </w:tcPr>
          <w:p w:rsidR="0020499E" w:rsidRDefault="008E27E1">
            <w:pPr>
              <w:jc w:val="right"/>
              <w:rPr>
                <w:rFonts w:eastAsia="Times New Roman"/>
                <w:color w:val="000000"/>
              </w:rPr>
            </w:pPr>
            <w:r>
              <w:rPr>
                <w:rFonts w:eastAsia="Times New Roman"/>
                <w:color w:val="000000"/>
              </w:rPr>
              <w:t>586</w:t>
            </w:r>
          </w:p>
        </w:tc>
      </w:tr>
      <w:tr w:rsidR="0020499E">
        <w:trPr>
          <w:trHeight w:val="288"/>
        </w:trPr>
        <w:tc>
          <w:tcPr>
            <w:tcW w:w="4780" w:type="dxa"/>
            <w:shd w:val="clear" w:color="auto" w:fill="auto"/>
            <w:noWrap/>
            <w:vAlign w:val="center"/>
            <w:hideMark/>
          </w:tcPr>
          <w:p w:rsidR="0020499E" w:rsidRDefault="008E27E1">
            <w:pPr>
              <w:jc w:val="center"/>
              <w:rPr>
                <w:rFonts w:eastAsia="Times New Roman"/>
                <w:color w:val="000000"/>
              </w:rPr>
            </w:pPr>
            <w:r>
              <w:rPr>
                <w:rFonts w:eastAsia="Times New Roman"/>
                <w:color w:val="000000"/>
              </w:rPr>
              <w:t>60-65 years</w:t>
            </w:r>
          </w:p>
        </w:tc>
        <w:tc>
          <w:tcPr>
            <w:tcW w:w="960" w:type="dxa"/>
            <w:shd w:val="clear" w:color="auto" w:fill="auto"/>
            <w:noWrap/>
            <w:vAlign w:val="bottom"/>
            <w:hideMark/>
          </w:tcPr>
          <w:p w:rsidR="0020499E" w:rsidRDefault="008E27E1">
            <w:pPr>
              <w:jc w:val="right"/>
              <w:rPr>
                <w:rFonts w:eastAsia="Times New Roman"/>
                <w:color w:val="000000"/>
              </w:rPr>
            </w:pPr>
            <w:r>
              <w:rPr>
                <w:rFonts w:eastAsia="Times New Roman"/>
                <w:color w:val="000000"/>
              </w:rPr>
              <w:t>292</w:t>
            </w:r>
          </w:p>
        </w:tc>
      </w:tr>
      <w:tr w:rsidR="0020499E">
        <w:trPr>
          <w:trHeight w:val="288"/>
        </w:trPr>
        <w:tc>
          <w:tcPr>
            <w:tcW w:w="4780" w:type="dxa"/>
            <w:shd w:val="clear" w:color="auto" w:fill="auto"/>
            <w:noWrap/>
            <w:vAlign w:val="center"/>
            <w:hideMark/>
          </w:tcPr>
          <w:p w:rsidR="0020499E" w:rsidRDefault="008E27E1">
            <w:pPr>
              <w:jc w:val="center"/>
              <w:rPr>
                <w:rFonts w:eastAsia="Times New Roman"/>
                <w:color w:val="000000"/>
              </w:rPr>
            </w:pPr>
            <w:r>
              <w:rPr>
                <w:rFonts w:eastAsia="Times New Roman"/>
                <w:color w:val="000000"/>
              </w:rPr>
              <w:t xml:space="preserve">40-60 </w:t>
            </w:r>
            <w:r>
              <w:rPr>
                <w:rFonts w:eastAsia="Times New Roman" w:cs="Sylfaen"/>
                <w:color w:val="000000"/>
              </w:rPr>
              <w:t>years</w:t>
            </w:r>
          </w:p>
        </w:tc>
        <w:tc>
          <w:tcPr>
            <w:tcW w:w="960" w:type="dxa"/>
            <w:shd w:val="clear" w:color="auto" w:fill="auto"/>
            <w:noWrap/>
            <w:vAlign w:val="bottom"/>
            <w:hideMark/>
          </w:tcPr>
          <w:p w:rsidR="0020499E" w:rsidRDefault="008E27E1">
            <w:pPr>
              <w:jc w:val="right"/>
              <w:rPr>
                <w:rFonts w:eastAsia="Times New Roman"/>
                <w:color w:val="000000"/>
              </w:rPr>
            </w:pPr>
            <w:r>
              <w:rPr>
                <w:rFonts w:eastAsia="Times New Roman"/>
                <w:color w:val="000000"/>
              </w:rPr>
              <w:t>730</w:t>
            </w:r>
          </w:p>
        </w:tc>
      </w:tr>
      <w:tr w:rsidR="0020499E">
        <w:trPr>
          <w:trHeight w:val="288"/>
        </w:trPr>
        <w:tc>
          <w:tcPr>
            <w:tcW w:w="4780" w:type="dxa"/>
            <w:shd w:val="clear" w:color="auto" w:fill="auto"/>
            <w:noWrap/>
            <w:vAlign w:val="center"/>
            <w:hideMark/>
          </w:tcPr>
          <w:p w:rsidR="0020499E" w:rsidRDefault="008E27E1">
            <w:pPr>
              <w:jc w:val="center"/>
              <w:rPr>
                <w:rFonts w:eastAsia="Times New Roman"/>
                <w:color w:val="000000"/>
              </w:rPr>
            </w:pPr>
            <w:r>
              <w:rPr>
                <w:rFonts w:eastAsia="Times New Roman"/>
                <w:color w:val="000000"/>
              </w:rPr>
              <w:t>Less than 40 years</w:t>
            </w:r>
          </w:p>
        </w:tc>
        <w:tc>
          <w:tcPr>
            <w:tcW w:w="960" w:type="dxa"/>
            <w:shd w:val="clear" w:color="auto" w:fill="auto"/>
            <w:noWrap/>
            <w:vAlign w:val="bottom"/>
            <w:hideMark/>
          </w:tcPr>
          <w:p w:rsidR="0020499E" w:rsidRDefault="008E27E1">
            <w:pPr>
              <w:jc w:val="right"/>
              <w:rPr>
                <w:rFonts w:eastAsia="Times New Roman"/>
                <w:color w:val="000000"/>
              </w:rPr>
            </w:pPr>
            <w:r>
              <w:rPr>
                <w:rFonts w:eastAsia="Times New Roman"/>
                <w:color w:val="000000"/>
              </w:rPr>
              <w:t>202</w:t>
            </w:r>
          </w:p>
        </w:tc>
      </w:tr>
    </w:tbl>
    <w:p w:rsidR="0020499E" w:rsidRDefault="008E27E1">
      <w:r>
        <w:t>Source: MoES</w:t>
      </w:r>
      <w:r>
        <w:t xml:space="preserve"> internal data, 2013</w:t>
      </w:r>
    </w:p>
    <w:p w:rsidR="0020499E" w:rsidRDefault="008E27E1">
      <w:pPr>
        <w:autoSpaceDE/>
        <w:autoSpaceDN/>
        <w:adjustRightInd/>
        <w:jc w:val="left"/>
      </w:pPr>
      <w:r>
        <w:br w:type="page"/>
      </w:r>
    </w:p>
    <w:p w:rsidR="0020499E" w:rsidRDefault="0020499E"/>
    <w:p w:rsidR="0020499E" w:rsidRDefault="008E27E1">
      <w:pPr>
        <w:ind w:left="360"/>
        <w:rPr>
          <w:b/>
        </w:rPr>
      </w:pPr>
      <w:r>
        <w:rPr>
          <w:b/>
        </w:rPr>
        <w:t>d. Number of Professors by status and years (Georgia)</w:t>
      </w:r>
    </w:p>
    <w:p w:rsidR="0020499E" w:rsidRDefault="0020499E"/>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134"/>
        <w:gridCol w:w="1325"/>
        <w:gridCol w:w="1962"/>
        <w:gridCol w:w="1850"/>
        <w:gridCol w:w="1242"/>
        <w:gridCol w:w="1701"/>
      </w:tblGrid>
      <w:tr w:rsidR="0020499E">
        <w:trPr>
          <w:trHeight w:val="264"/>
        </w:trPr>
        <w:tc>
          <w:tcPr>
            <w:tcW w:w="10207" w:type="dxa"/>
            <w:gridSpan w:val="7"/>
            <w:shd w:val="clear" w:color="auto" w:fill="auto"/>
            <w:vAlign w:val="center"/>
            <w:hideMark/>
          </w:tcPr>
          <w:p w:rsidR="0020499E" w:rsidRDefault="008E27E1">
            <w:pPr>
              <w:jc w:val="center"/>
              <w:rPr>
                <w:rFonts w:eastAsia="Times New Roman"/>
                <w:b/>
              </w:rPr>
            </w:pPr>
            <w:r>
              <w:rPr>
                <w:rFonts w:eastAsia="Times New Roman"/>
                <w:b/>
              </w:rPr>
              <w:t>Persons</w:t>
            </w:r>
          </w:p>
        </w:tc>
      </w:tr>
      <w:tr w:rsidR="0020499E">
        <w:trPr>
          <w:trHeight w:val="315"/>
        </w:trPr>
        <w:tc>
          <w:tcPr>
            <w:tcW w:w="993" w:type="dxa"/>
            <w:vMerge w:val="restart"/>
            <w:shd w:val="clear" w:color="auto" w:fill="auto"/>
            <w:hideMark/>
          </w:tcPr>
          <w:p w:rsidR="0020499E" w:rsidRDefault="0020499E">
            <w:pPr>
              <w:jc w:val="center"/>
              <w:rPr>
                <w:rFonts w:eastAsia="Times New Roman" w:cs="Arial"/>
                <w:b/>
              </w:rPr>
            </w:pPr>
          </w:p>
        </w:tc>
        <w:tc>
          <w:tcPr>
            <w:tcW w:w="1134" w:type="dxa"/>
            <w:vMerge w:val="restart"/>
            <w:shd w:val="clear" w:color="auto" w:fill="auto"/>
            <w:vAlign w:val="center"/>
            <w:hideMark/>
          </w:tcPr>
          <w:p w:rsidR="0020499E" w:rsidRDefault="008E27E1">
            <w:pPr>
              <w:jc w:val="center"/>
              <w:rPr>
                <w:rFonts w:eastAsia="Times New Roman"/>
                <w:b/>
              </w:rPr>
            </w:pPr>
            <w:r>
              <w:rPr>
                <w:rFonts w:eastAsia="Times New Roman"/>
                <w:b/>
              </w:rPr>
              <w:t>Total</w:t>
            </w:r>
          </w:p>
        </w:tc>
        <w:tc>
          <w:tcPr>
            <w:tcW w:w="6379" w:type="dxa"/>
            <w:gridSpan w:val="4"/>
            <w:shd w:val="clear" w:color="auto" w:fill="auto"/>
            <w:vAlign w:val="bottom"/>
            <w:hideMark/>
          </w:tcPr>
          <w:p w:rsidR="0020499E" w:rsidRDefault="008E27E1">
            <w:pPr>
              <w:jc w:val="center"/>
              <w:rPr>
                <w:rFonts w:eastAsia="Times New Roman"/>
                <w:b/>
              </w:rPr>
            </w:pPr>
            <w:r>
              <w:rPr>
                <w:rFonts w:eastAsia="Times New Roman"/>
                <w:b/>
              </w:rPr>
              <w:t>of  which</w:t>
            </w:r>
          </w:p>
        </w:tc>
        <w:tc>
          <w:tcPr>
            <w:tcW w:w="1701" w:type="dxa"/>
            <w:shd w:val="clear" w:color="auto" w:fill="auto"/>
            <w:noWrap/>
            <w:vAlign w:val="bottom"/>
            <w:hideMark/>
          </w:tcPr>
          <w:p w:rsidR="0020499E" w:rsidRDefault="0020499E">
            <w:pPr>
              <w:jc w:val="center"/>
              <w:rPr>
                <w:rFonts w:eastAsia="Times New Roman" w:cs="Arial"/>
                <w:b/>
              </w:rPr>
            </w:pPr>
          </w:p>
        </w:tc>
      </w:tr>
      <w:tr w:rsidR="0020499E">
        <w:trPr>
          <w:trHeight w:val="510"/>
        </w:trPr>
        <w:tc>
          <w:tcPr>
            <w:tcW w:w="993" w:type="dxa"/>
            <w:vMerge/>
            <w:vAlign w:val="center"/>
            <w:hideMark/>
          </w:tcPr>
          <w:p w:rsidR="0020499E" w:rsidRDefault="0020499E">
            <w:pPr>
              <w:jc w:val="center"/>
              <w:rPr>
                <w:rFonts w:eastAsia="Times New Roman" w:cs="Arial"/>
                <w:b/>
              </w:rPr>
            </w:pPr>
          </w:p>
        </w:tc>
        <w:tc>
          <w:tcPr>
            <w:tcW w:w="1134" w:type="dxa"/>
            <w:vMerge/>
            <w:vAlign w:val="center"/>
            <w:hideMark/>
          </w:tcPr>
          <w:p w:rsidR="0020499E" w:rsidRDefault="0020499E">
            <w:pPr>
              <w:jc w:val="center"/>
              <w:rPr>
                <w:rFonts w:eastAsia="Times New Roman"/>
                <w:b/>
              </w:rPr>
            </w:pPr>
          </w:p>
        </w:tc>
        <w:tc>
          <w:tcPr>
            <w:tcW w:w="1325" w:type="dxa"/>
            <w:shd w:val="clear" w:color="auto" w:fill="auto"/>
            <w:vAlign w:val="center"/>
            <w:hideMark/>
          </w:tcPr>
          <w:p w:rsidR="0020499E" w:rsidRDefault="008E27E1">
            <w:pPr>
              <w:jc w:val="center"/>
              <w:rPr>
                <w:rFonts w:eastAsia="Times New Roman"/>
                <w:b/>
              </w:rPr>
            </w:pPr>
            <w:r>
              <w:rPr>
                <w:rFonts w:eastAsia="Times New Roman"/>
                <w:b/>
              </w:rPr>
              <w:t>Full Professor</w:t>
            </w:r>
          </w:p>
        </w:tc>
        <w:tc>
          <w:tcPr>
            <w:tcW w:w="1962" w:type="dxa"/>
            <w:shd w:val="clear" w:color="auto" w:fill="auto"/>
            <w:vAlign w:val="center"/>
            <w:hideMark/>
          </w:tcPr>
          <w:p w:rsidR="0020499E" w:rsidRDefault="008E27E1">
            <w:pPr>
              <w:jc w:val="center"/>
              <w:rPr>
                <w:rFonts w:eastAsia="Times New Roman"/>
                <w:b/>
              </w:rPr>
            </w:pPr>
            <w:r>
              <w:rPr>
                <w:rFonts w:eastAsia="Times New Roman"/>
                <w:b/>
              </w:rPr>
              <w:t>associate professor</w:t>
            </w:r>
          </w:p>
        </w:tc>
        <w:tc>
          <w:tcPr>
            <w:tcW w:w="1850" w:type="dxa"/>
            <w:shd w:val="clear" w:color="auto" w:fill="auto"/>
            <w:vAlign w:val="center"/>
            <w:hideMark/>
          </w:tcPr>
          <w:p w:rsidR="0020499E" w:rsidRDefault="008E27E1">
            <w:pPr>
              <w:jc w:val="center"/>
              <w:rPr>
                <w:rFonts w:eastAsia="Times New Roman"/>
                <w:b/>
              </w:rPr>
            </w:pPr>
            <w:r>
              <w:rPr>
                <w:rFonts w:eastAsia="Times New Roman"/>
                <w:b/>
              </w:rPr>
              <w:t>assistant professor</w:t>
            </w:r>
          </w:p>
        </w:tc>
        <w:tc>
          <w:tcPr>
            <w:tcW w:w="1242" w:type="dxa"/>
            <w:shd w:val="clear" w:color="auto" w:fill="auto"/>
            <w:vAlign w:val="center"/>
            <w:hideMark/>
          </w:tcPr>
          <w:p w:rsidR="0020499E" w:rsidRDefault="008E27E1">
            <w:pPr>
              <w:jc w:val="center"/>
              <w:rPr>
                <w:rFonts w:eastAsia="Times New Roman"/>
                <w:b/>
              </w:rPr>
            </w:pPr>
            <w:r>
              <w:rPr>
                <w:rFonts w:eastAsia="Times New Roman"/>
                <w:b/>
              </w:rPr>
              <w:t>teacher</w:t>
            </w:r>
          </w:p>
        </w:tc>
        <w:tc>
          <w:tcPr>
            <w:tcW w:w="1701" w:type="dxa"/>
            <w:shd w:val="clear" w:color="auto" w:fill="auto"/>
            <w:vAlign w:val="center"/>
            <w:hideMark/>
          </w:tcPr>
          <w:p w:rsidR="0020499E" w:rsidRDefault="008E27E1">
            <w:pPr>
              <w:jc w:val="center"/>
              <w:rPr>
                <w:rFonts w:eastAsia="Times New Roman"/>
                <w:b/>
              </w:rPr>
            </w:pPr>
            <w:r>
              <w:rPr>
                <w:rFonts w:eastAsia="Times New Roman"/>
                <w:b/>
              </w:rPr>
              <w:t>unidentified</w:t>
            </w:r>
          </w:p>
        </w:tc>
      </w:tr>
      <w:tr w:rsidR="0020499E">
        <w:trPr>
          <w:trHeight w:val="375"/>
        </w:trPr>
        <w:tc>
          <w:tcPr>
            <w:tcW w:w="10207" w:type="dxa"/>
            <w:gridSpan w:val="7"/>
            <w:shd w:val="clear" w:color="auto" w:fill="auto"/>
            <w:hideMark/>
          </w:tcPr>
          <w:p w:rsidR="0020499E" w:rsidRDefault="008E27E1">
            <w:pPr>
              <w:jc w:val="center"/>
              <w:rPr>
                <w:rFonts w:eastAsia="Times New Roman" w:cs="Arial"/>
                <w:b/>
              </w:rPr>
            </w:pPr>
            <w:r>
              <w:rPr>
                <w:rFonts w:eastAsia="Times New Roman"/>
                <w:b/>
              </w:rPr>
              <w:t>In public institutions, total</w:t>
            </w:r>
          </w:p>
        </w:tc>
      </w:tr>
      <w:tr w:rsidR="0020499E">
        <w:trPr>
          <w:trHeight w:val="312"/>
        </w:trPr>
        <w:tc>
          <w:tcPr>
            <w:tcW w:w="993" w:type="dxa"/>
            <w:shd w:val="clear" w:color="auto" w:fill="auto"/>
            <w:vAlign w:val="bottom"/>
            <w:hideMark/>
          </w:tcPr>
          <w:p w:rsidR="0020499E" w:rsidRDefault="008E27E1">
            <w:pPr>
              <w:jc w:val="center"/>
              <w:rPr>
                <w:rFonts w:eastAsia="Times New Roman" w:cs="Arial"/>
              </w:rPr>
            </w:pPr>
            <w:r>
              <w:rPr>
                <w:rFonts w:eastAsia="Times New Roman" w:cs="Arial"/>
              </w:rPr>
              <w:t>2007-2008</w:t>
            </w:r>
          </w:p>
        </w:tc>
        <w:tc>
          <w:tcPr>
            <w:tcW w:w="1134" w:type="dxa"/>
            <w:shd w:val="clear" w:color="auto" w:fill="auto"/>
            <w:vAlign w:val="bottom"/>
            <w:hideMark/>
          </w:tcPr>
          <w:p w:rsidR="0020499E" w:rsidRDefault="008E27E1">
            <w:pPr>
              <w:jc w:val="center"/>
              <w:rPr>
                <w:rFonts w:eastAsia="Times New Roman" w:cs="Arial"/>
              </w:rPr>
            </w:pPr>
            <w:r>
              <w:rPr>
                <w:rFonts w:eastAsia="Times New Roman" w:cs="Arial"/>
              </w:rPr>
              <w:t>4642</w:t>
            </w:r>
          </w:p>
        </w:tc>
        <w:tc>
          <w:tcPr>
            <w:tcW w:w="1325" w:type="dxa"/>
            <w:shd w:val="clear" w:color="auto" w:fill="auto"/>
            <w:vAlign w:val="bottom"/>
            <w:hideMark/>
          </w:tcPr>
          <w:p w:rsidR="0020499E" w:rsidRDefault="008E27E1">
            <w:pPr>
              <w:jc w:val="center"/>
              <w:rPr>
                <w:rFonts w:eastAsia="Times New Roman" w:cs="Arial"/>
              </w:rPr>
            </w:pPr>
            <w:r>
              <w:rPr>
                <w:rFonts w:eastAsia="Times New Roman" w:cs="Arial"/>
              </w:rPr>
              <w:t>1028</w:t>
            </w:r>
          </w:p>
        </w:tc>
        <w:tc>
          <w:tcPr>
            <w:tcW w:w="1962" w:type="dxa"/>
            <w:shd w:val="clear" w:color="auto" w:fill="auto"/>
            <w:vAlign w:val="bottom"/>
            <w:hideMark/>
          </w:tcPr>
          <w:p w:rsidR="0020499E" w:rsidRDefault="008E27E1">
            <w:pPr>
              <w:jc w:val="center"/>
              <w:rPr>
                <w:rFonts w:eastAsia="Times New Roman" w:cs="Arial"/>
              </w:rPr>
            </w:pPr>
            <w:r>
              <w:rPr>
                <w:rFonts w:eastAsia="Times New Roman" w:cs="Arial"/>
              </w:rPr>
              <w:t>1981</w:t>
            </w:r>
          </w:p>
        </w:tc>
        <w:tc>
          <w:tcPr>
            <w:tcW w:w="1850" w:type="dxa"/>
            <w:shd w:val="clear" w:color="auto" w:fill="auto"/>
            <w:vAlign w:val="bottom"/>
            <w:hideMark/>
          </w:tcPr>
          <w:p w:rsidR="0020499E" w:rsidRDefault="008E27E1">
            <w:pPr>
              <w:jc w:val="center"/>
              <w:rPr>
                <w:rFonts w:eastAsia="Times New Roman" w:cs="Arial"/>
              </w:rPr>
            </w:pPr>
            <w:r>
              <w:rPr>
                <w:rFonts w:eastAsia="Times New Roman" w:cs="Arial"/>
              </w:rPr>
              <w:t>1633</w:t>
            </w:r>
          </w:p>
        </w:tc>
        <w:tc>
          <w:tcPr>
            <w:tcW w:w="1242" w:type="dxa"/>
            <w:shd w:val="clear" w:color="auto" w:fill="auto"/>
            <w:vAlign w:val="bottom"/>
            <w:hideMark/>
          </w:tcPr>
          <w:p w:rsidR="0020499E" w:rsidRDefault="008E27E1">
            <w:pPr>
              <w:jc w:val="center"/>
              <w:rPr>
                <w:rFonts w:eastAsia="Times New Roman" w:cs="Arial"/>
              </w:rPr>
            </w:pPr>
            <w:r>
              <w:rPr>
                <w:rFonts w:eastAsia="Times New Roman" w:cs="Arial"/>
              </w:rPr>
              <w:t>-</w:t>
            </w:r>
          </w:p>
        </w:tc>
        <w:tc>
          <w:tcPr>
            <w:tcW w:w="1701" w:type="dxa"/>
            <w:shd w:val="clear" w:color="auto" w:fill="auto"/>
            <w:noWrap/>
            <w:vAlign w:val="bottom"/>
            <w:hideMark/>
          </w:tcPr>
          <w:p w:rsidR="0020499E" w:rsidRDefault="0020499E">
            <w:pPr>
              <w:jc w:val="center"/>
              <w:rPr>
                <w:rFonts w:eastAsia="Times New Roman" w:cs="Arial"/>
              </w:rPr>
            </w:pPr>
          </w:p>
        </w:tc>
      </w:tr>
      <w:tr w:rsidR="0020499E">
        <w:trPr>
          <w:trHeight w:val="312"/>
        </w:trPr>
        <w:tc>
          <w:tcPr>
            <w:tcW w:w="993" w:type="dxa"/>
            <w:shd w:val="clear" w:color="auto" w:fill="auto"/>
            <w:vAlign w:val="bottom"/>
            <w:hideMark/>
          </w:tcPr>
          <w:p w:rsidR="0020499E" w:rsidRDefault="008E27E1">
            <w:pPr>
              <w:jc w:val="center"/>
              <w:rPr>
                <w:rFonts w:eastAsia="Times New Roman" w:cs="Arial"/>
              </w:rPr>
            </w:pPr>
            <w:r>
              <w:rPr>
                <w:rFonts w:eastAsia="Times New Roman" w:cs="Arial"/>
              </w:rPr>
              <w:t>2008-2009</w:t>
            </w:r>
          </w:p>
        </w:tc>
        <w:tc>
          <w:tcPr>
            <w:tcW w:w="1134" w:type="dxa"/>
            <w:shd w:val="clear" w:color="auto" w:fill="auto"/>
            <w:vAlign w:val="bottom"/>
            <w:hideMark/>
          </w:tcPr>
          <w:p w:rsidR="0020499E" w:rsidRDefault="008E27E1">
            <w:pPr>
              <w:jc w:val="center"/>
              <w:rPr>
                <w:rFonts w:eastAsia="Times New Roman" w:cs="Arial"/>
              </w:rPr>
            </w:pPr>
            <w:r>
              <w:rPr>
                <w:rFonts w:eastAsia="Times New Roman" w:cs="Arial"/>
              </w:rPr>
              <w:t>3884</w:t>
            </w:r>
          </w:p>
        </w:tc>
        <w:tc>
          <w:tcPr>
            <w:tcW w:w="1325" w:type="dxa"/>
            <w:shd w:val="clear" w:color="auto" w:fill="auto"/>
            <w:vAlign w:val="bottom"/>
            <w:hideMark/>
          </w:tcPr>
          <w:p w:rsidR="0020499E" w:rsidRDefault="008E27E1">
            <w:pPr>
              <w:jc w:val="center"/>
              <w:rPr>
                <w:rFonts w:eastAsia="Times New Roman" w:cs="Arial"/>
              </w:rPr>
            </w:pPr>
            <w:r>
              <w:rPr>
                <w:rFonts w:eastAsia="Times New Roman" w:cs="Arial"/>
              </w:rPr>
              <w:t>944</w:t>
            </w:r>
          </w:p>
        </w:tc>
        <w:tc>
          <w:tcPr>
            <w:tcW w:w="1962" w:type="dxa"/>
            <w:shd w:val="clear" w:color="auto" w:fill="auto"/>
            <w:vAlign w:val="bottom"/>
            <w:hideMark/>
          </w:tcPr>
          <w:p w:rsidR="0020499E" w:rsidRDefault="008E27E1">
            <w:pPr>
              <w:jc w:val="center"/>
              <w:rPr>
                <w:rFonts w:eastAsia="Times New Roman" w:cs="Arial"/>
              </w:rPr>
            </w:pPr>
            <w:r>
              <w:rPr>
                <w:rFonts w:eastAsia="Times New Roman" w:cs="Arial"/>
              </w:rPr>
              <w:t>1782</w:t>
            </w:r>
          </w:p>
        </w:tc>
        <w:tc>
          <w:tcPr>
            <w:tcW w:w="1850" w:type="dxa"/>
            <w:shd w:val="clear" w:color="auto" w:fill="auto"/>
            <w:vAlign w:val="bottom"/>
            <w:hideMark/>
          </w:tcPr>
          <w:p w:rsidR="0020499E" w:rsidRDefault="008E27E1">
            <w:pPr>
              <w:jc w:val="center"/>
              <w:rPr>
                <w:rFonts w:eastAsia="Times New Roman" w:cs="Arial"/>
              </w:rPr>
            </w:pPr>
            <w:r>
              <w:rPr>
                <w:rFonts w:eastAsia="Times New Roman" w:cs="Arial"/>
              </w:rPr>
              <w:t>1158</w:t>
            </w:r>
          </w:p>
        </w:tc>
        <w:tc>
          <w:tcPr>
            <w:tcW w:w="1242" w:type="dxa"/>
            <w:shd w:val="clear" w:color="auto" w:fill="auto"/>
            <w:vAlign w:val="bottom"/>
            <w:hideMark/>
          </w:tcPr>
          <w:p w:rsidR="0020499E" w:rsidRDefault="008E27E1">
            <w:pPr>
              <w:jc w:val="center"/>
              <w:rPr>
                <w:rFonts w:eastAsia="Times New Roman" w:cs="Arial"/>
              </w:rPr>
            </w:pPr>
            <w:r>
              <w:rPr>
                <w:rFonts w:eastAsia="Times New Roman" w:cs="Arial"/>
              </w:rPr>
              <w:t>-</w:t>
            </w:r>
          </w:p>
        </w:tc>
        <w:tc>
          <w:tcPr>
            <w:tcW w:w="1701" w:type="dxa"/>
            <w:shd w:val="clear" w:color="auto" w:fill="auto"/>
            <w:noWrap/>
            <w:vAlign w:val="bottom"/>
            <w:hideMark/>
          </w:tcPr>
          <w:p w:rsidR="0020499E" w:rsidRDefault="0020499E">
            <w:pPr>
              <w:jc w:val="center"/>
              <w:rPr>
                <w:rFonts w:eastAsia="Times New Roman" w:cs="Arial"/>
              </w:rPr>
            </w:pPr>
          </w:p>
        </w:tc>
      </w:tr>
      <w:tr w:rsidR="0020499E">
        <w:trPr>
          <w:trHeight w:val="312"/>
        </w:trPr>
        <w:tc>
          <w:tcPr>
            <w:tcW w:w="993" w:type="dxa"/>
            <w:shd w:val="clear" w:color="auto" w:fill="auto"/>
            <w:vAlign w:val="bottom"/>
            <w:hideMark/>
          </w:tcPr>
          <w:p w:rsidR="0020499E" w:rsidRDefault="008E27E1">
            <w:pPr>
              <w:jc w:val="center"/>
              <w:rPr>
                <w:rFonts w:eastAsia="Times New Roman" w:cs="Arial"/>
              </w:rPr>
            </w:pPr>
            <w:r>
              <w:rPr>
                <w:rFonts w:eastAsia="Times New Roman" w:cs="Arial"/>
              </w:rPr>
              <w:t>2009-2010</w:t>
            </w:r>
          </w:p>
        </w:tc>
        <w:tc>
          <w:tcPr>
            <w:tcW w:w="1134" w:type="dxa"/>
            <w:shd w:val="clear" w:color="auto" w:fill="auto"/>
            <w:vAlign w:val="bottom"/>
            <w:hideMark/>
          </w:tcPr>
          <w:p w:rsidR="0020499E" w:rsidRDefault="008E27E1">
            <w:pPr>
              <w:jc w:val="center"/>
              <w:rPr>
                <w:rFonts w:eastAsia="Times New Roman" w:cs="Arial"/>
              </w:rPr>
            </w:pPr>
            <w:r>
              <w:rPr>
                <w:rFonts w:eastAsia="Times New Roman" w:cs="Arial"/>
              </w:rPr>
              <w:t>4455</w:t>
            </w:r>
          </w:p>
        </w:tc>
        <w:tc>
          <w:tcPr>
            <w:tcW w:w="1325" w:type="dxa"/>
            <w:shd w:val="clear" w:color="auto" w:fill="auto"/>
            <w:vAlign w:val="bottom"/>
            <w:hideMark/>
          </w:tcPr>
          <w:p w:rsidR="0020499E" w:rsidRDefault="008E27E1">
            <w:pPr>
              <w:jc w:val="center"/>
              <w:rPr>
                <w:rFonts w:eastAsia="Times New Roman" w:cs="Arial"/>
              </w:rPr>
            </w:pPr>
            <w:r>
              <w:rPr>
                <w:rFonts w:eastAsia="Times New Roman" w:cs="Arial"/>
              </w:rPr>
              <w:t>1056</w:t>
            </w:r>
          </w:p>
        </w:tc>
        <w:tc>
          <w:tcPr>
            <w:tcW w:w="1962" w:type="dxa"/>
            <w:shd w:val="clear" w:color="auto" w:fill="auto"/>
            <w:vAlign w:val="bottom"/>
            <w:hideMark/>
          </w:tcPr>
          <w:p w:rsidR="0020499E" w:rsidRDefault="008E27E1">
            <w:pPr>
              <w:jc w:val="center"/>
              <w:rPr>
                <w:rFonts w:eastAsia="Times New Roman" w:cs="Arial"/>
              </w:rPr>
            </w:pPr>
            <w:r>
              <w:rPr>
                <w:rFonts w:eastAsia="Times New Roman" w:cs="Arial"/>
              </w:rPr>
              <w:t>1990</w:t>
            </w:r>
          </w:p>
        </w:tc>
        <w:tc>
          <w:tcPr>
            <w:tcW w:w="1850" w:type="dxa"/>
            <w:shd w:val="clear" w:color="auto" w:fill="auto"/>
            <w:vAlign w:val="bottom"/>
            <w:hideMark/>
          </w:tcPr>
          <w:p w:rsidR="0020499E" w:rsidRDefault="008E27E1">
            <w:pPr>
              <w:jc w:val="center"/>
              <w:rPr>
                <w:rFonts w:eastAsia="Times New Roman" w:cs="Arial"/>
              </w:rPr>
            </w:pPr>
            <w:r>
              <w:rPr>
                <w:rFonts w:eastAsia="Times New Roman" w:cs="Arial"/>
              </w:rPr>
              <w:t>1106</w:t>
            </w:r>
          </w:p>
        </w:tc>
        <w:tc>
          <w:tcPr>
            <w:tcW w:w="1242" w:type="dxa"/>
            <w:shd w:val="clear" w:color="auto" w:fill="auto"/>
            <w:vAlign w:val="bottom"/>
            <w:hideMark/>
          </w:tcPr>
          <w:p w:rsidR="0020499E" w:rsidRDefault="008E27E1">
            <w:pPr>
              <w:jc w:val="center"/>
              <w:rPr>
                <w:rFonts w:eastAsia="Times New Roman" w:cs="Arial"/>
              </w:rPr>
            </w:pPr>
            <w:r>
              <w:rPr>
                <w:rFonts w:eastAsia="Times New Roman" w:cs="Arial"/>
              </w:rPr>
              <w:t>303</w:t>
            </w:r>
          </w:p>
        </w:tc>
        <w:tc>
          <w:tcPr>
            <w:tcW w:w="1701" w:type="dxa"/>
            <w:shd w:val="clear" w:color="auto" w:fill="auto"/>
            <w:noWrap/>
            <w:vAlign w:val="bottom"/>
            <w:hideMark/>
          </w:tcPr>
          <w:p w:rsidR="0020499E" w:rsidRDefault="0020499E">
            <w:pPr>
              <w:jc w:val="center"/>
              <w:rPr>
                <w:rFonts w:eastAsia="Times New Roman" w:cs="Arial"/>
              </w:rPr>
            </w:pPr>
          </w:p>
        </w:tc>
      </w:tr>
      <w:tr w:rsidR="0020499E">
        <w:trPr>
          <w:trHeight w:val="312"/>
        </w:trPr>
        <w:tc>
          <w:tcPr>
            <w:tcW w:w="993" w:type="dxa"/>
            <w:shd w:val="clear" w:color="auto" w:fill="auto"/>
            <w:vAlign w:val="bottom"/>
            <w:hideMark/>
          </w:tcPr>
          <w:p w:rsidR="0020499E" w:rsidRDefault="008E27E1">
            <w:pPr>
              <w:jc w:val="center"/>
              <w:rPr>
                <w:rFonts w:eastAsia="Times New Roman" w:cs="Arial"/>
              </w:rPr>
            </w:pPr>
            <w:r>
              <w:rPr>
                <w:rFonts w:eastAsia="Times New Roman" w:cs="Arial"/>
              </w:rPr>
              <w:t>2011-2012</w:t>
            </w:r>
          </w:p>
        </w:tc>
        <w:tc>
          <w:tcPr>
            <w:tcW w:w="1134" w:type="dxa"/>
            <w:shd w:val="clear" w:color="auto" w:fill="auto"/>
            <w:vAlign w:val="bottom"/>
            <w:hideMark/>
          </w:tcPr>
          <w:p w:rsidR="0020499E" w:rsidRDefault="008E27E1">
            <w:pPr>
              <w:jc w:val="center"/>
              <w:rPr>
                <w:rFonts w:eastAsia="Times New Roman" w:cs="Arial"/>
              </w:rPr>
            </w:pPr>
            <w:r>
              <w:rPr>
                <w:rFonts w:eastAsia="Times New Roman" w:cs="Arial"/>
              </w:rPr>
              <w:t>4582</w:t>
            </w:r>
          </w:p>
        </w:tc>
        <w:tc>
          <w:tcPr>
            <w:tcW w:w="1325" w:type="dxa"/>
            <w:shd w:val="clear" w:color="auto" w:fill="auto"/>
            <w:vAlign w:val="bottom"/>
            <w:hideMark/>
          </w:tcPr>
          <w:p w:rsidR="0020499E" w:rsidRDefault="008E27E1">
            <w:pPr>
              <w:jc w:val="center"/>
              <w:rPr>
                <w:rFonts w:eastAsia="Times New Roman" w:cs="Arial"/>
              </w:rPr>
            </w:pPr>
            <w:r>
              <w:rPr>
                <w:rFonts w:eastAsia="Times New Roman" w:cs="Arial"/>
              </w:rPr>
              <w:t>929</w:t>
            </w:r>
          </w:p>
        </w:tc>
        <w:tc>
          <w:tcPr>
            <w:tcW w:w="1962" w:type="dxa"/>
            <w:shd w:val="clear" w:color="auto" w:fill="auto"/>
            <w:vAlign w:val="bottom"/>
            <w:hideMark/>
          </w:tcPr>
          <w:p w:rsidR="0020499E" w:rsidRDefault="008E27E1">
            <w:pPr>
              <w:jc w:val="center"/>
              <w:rPr>
                <w:rFonts w:eastAsia="Times New Roman" w:cs="Arial"/>
              </w:rPr>
            </w:pPr>
            <w:r>
              <w:rPr>
                <w:rFonts w:eastAsia="Times New Roman" w:cs="Arial"/>
              </w:rPr>
              <w:t>1856</w:t>
            </w:r>
          </w:p>
        </w:tc>
        <w:tc>
          <w:tcPr>
            <w:tcW w:w="1850" w:type="dxa"/>
            <w:shd w:val="clear" w:color="auto" w:fill="auto"/>
            <w:vAlign w:val="bottom"/>
            <w:hideMark/>
          </w:tcPr>
          <w:p w:rsidR="0020499E" w:rsidRDefault="008E27E1">
            <w:pPr>
              <w:jc w:val="center"/>
              <w:rPr>
                <w:rFonts w:eastAsia="Times New Roman" w:cs="Arial"/>
              </w:rPr>
            </w:pPr>
            <w:r>
              <w:rPr>
                <w:rFonts w:eastAsia="Times New Roman" w:cs="Arial"/>
              </w:rPr>
              <w:t>1014</w:t>
            </w:r>
          </w:p>
        </w:tc>
        <w:tc>
          <w:tcPr>
            <w:tcW w:w="1242" w:type="dxa"/>
            <w:shd w:val="clear" w:color="auto" w:fill="auto"/>
            <w:vAlign w:val="bottom"/>
            <w:hideMark/>
          </w:tcPr>
          <w:p w:rsidR="0020499E" w:rsidRDefault="008E27E1">
            <w:pPr>
              <w:jc w:val="center"/>
              <w:rPr>
                <w:rFonts w:eastAsia="Times New Roman" w:cs="Arial"/>
              </w:rPr>
            </w:pPr>
            <w:r>
              <w:rPr>
                <w:rFonts w:eastAsia="Times New Roman" w:cs="Arial"/>
              </w:rPr>
              <w:t>445</w:t>
            </w:r>
          </w:p>
        </w:tc>
        <w:tc>
          <w:tcPr>
            <w:tcW w:w="1701" w:type="dxa"/>
            <w:shd w:val="clear" w:color="auto" w:fill="auto"/>
            <w:noWrap/>
            <w:vAlign w:val="bottom"/>
            <w:hideMark/>
          </w:tcPr>
          <w:p w:rsidR="0020499E" w:rsidRDefault="008E27E1">
            <w:pPr>
              <w:jc w:val="center"/>
              <w:rPr>
                <w:rFonts w:eastAsia="Times New Roman" w:cs="Arial"/>
              </w:rPr>
            </w:pPr>
            <w:r>
              <w:rPr>
                <w:rFonts w:eastAsia="Times New Roman" w:cs="Arial"/>
              </w:rPr>
              <w:t>338</w:t>
            </w:r>
          </w:p>
        </w:tc>
      </w:tr>
      <w:tr w:rsidR="0020499E">
        <w:trPr>
          <w:trHeight w:val="312"/>
        </w:trPr>
        <w:tc>
          <w:tcPr>
            <w:tcW w:w="993" w:type="dxa"/>
            <w:shd w:val="clear" w:color="auto" w:fill="auto"/>
            <w:vAlign w:val="bottom"/>
            <w:hideMark/>
          </w:tcPr>
          <w:p w:rsidR="0020499E" w:rsidRDefault="008E27E1">
            <w:pPr>
              <w:jc w:val="center"/>
              <w:rPr>
                <w:rFonts w:eastAsia="Times New Roman" w:cs="Arial"/>
              </w:rPr>
            </w:pPr>
            <w:r>
              <w:rPr>
                <w:rFonts w:eastAsia="Times New Roman" w:cs="Arial"/>
              </w:rPr>
              <w:t>2012-2013</w:t>
            </w:r>
          </w:p>
        </w:tc>
        <w:tc>
          <w:tcPr>
            <w:tcW w:w="1134" w:type="dxa"/>
            <w:shd w:val="clear" w:color="auto" w:fill="auto"/>
            <w:vAlign w:val="bottom"/>
            <w:hideMark/>
          </w:tcPr>
          <w:p w:rsidR="0020499E" w:rsidRDefault="008E27E1">
            <w:pPr>
              <w:jc w:val="center"/>
              <w:rPr>
                <w:rFonts w:eastAsia="Times New Roman" w:cs="Arial"/>
              </w:rPr>
            </w:pPr>
            <w:r>
              <w:rPr>
                <w:rFonts w:eastAsia="Times New Roman" w:cs="Arial"/>
              </w:rPr>
              <w:t>4324</w:t>
            </w:r>
          </w:p>
        </w:tc>
        <w:tc>
          <w:tcPr>
            <w:tcW w:w="1325" w:type="dxa"/>
            <w:shd w:val="clear" w:color="auto" w:fill="auto"/>
            <w:vAlign w:val="bottom"/>
            <w:hideMark/>
          </w:tcPr>
          <w:p w:rsidR="0020499E" w:rsidRDefault="008E27E1">
            <w:pPr>
              <w:jc w:val="center"/>
              <w:rPr>
                <w:rFonts w:eastAsia="Times New Roman" w:cs="Arial"/>
              </w:rPr>
            </w:pPr>
            <w:r>
              <w:rPr>
                <w:rFonts w:eastAsia="Times New Roman" w:cs="Arial"/>
              </w:rPr>
              <w:t>951</w:t>
            </w:r>
          </w:p>
        </w:tc>
        <w:tc>
          <w:tcPr>
            <w:tcW w:w="1962" w:type="dxa"/>
            <w:shd w:val="clear" w:color="auto" w:fill="auto"/>
            <w:vAlign w:val="bottom"/>
            <w:hideMark/>
          </w:tcPr>
          <w:p w:rsidR="0020499E" w:rsidRDefault="008E27E1">
            <w:pPr>
              <w:jc w:val="center"/>
              <w:rPr>
                <w:rFonts w:eastAsia="Times New Roman" w:cs="Arial"/>
              </w:rPr>
            </w:pPr>
            <w:r>
              <w:rPr>
                <w:rFonts w:eastAsia="Times New Roman" w:cs="Arial"/>
              </w:rPr>
              <w:t>1854</w:t>
            </w:r>
          </w:p>
        </w:tc>
        <w:tc>
          <w:tcPr>
            <w:tcW w:w="1850" w:type="dxa"/>
            <w:shd w:val="clear" w:color="auto" w:fill="auto"/>
            <w:vAlign w:val="bottom"/>
            <w:hideMark/>
          </w:tcPr>
          <w:p w:rsidR="0020499E" w:rsidRDefault="008E27E1">
            <w:pPr>
              <w:jc w:val="center"/>
              <w:rPr>
                <w:rFonts w:eastAsia="Times New Roman" w:cs="Arial"/>
              </w:rPr>
            </w:pPr>
            <w:r>
              <w:rPr>
                <w:rFonts w:eastAsia="Times New Roman" w:cs="Arial"/>
              </w:rPr>
              <w:t>1019</w:t>
            </w:r>
          </w:p>
        </w:tc>
        <w:tc>
          <w:tcPr>
            <w:tcW w:w="1242" w:type="dxa"/>
            <w:shd w:val="clear" w:color="auto" w:fill="auto"/>
            <w:vAlign w:val="bottom"/>
            <w:hideMark/>
          </w:tcPr>
          <w:p w:rsidR="0020499E" w:rsidRDefault="008E27E1">
            <w:pPr>
              <w:jc w:val="center"/>
              <w:rPr>
                <w:rFonts w:eastAsia="Times New Roman" w:cs="Arial"/>
              </w:rPr>
            </w:pPr>
            <w:r>
              <w:rPr>
                <w:rFonts w:eastAsia="Times New Roman" w:cs="Arial"/>
              </w:rPr>
              <w:t>225</w:t>
            </w:r>
          </w:p>
        </w:tc>
        <w:tc>
          <w:tcPr>
            <w:tcW w:w="1701" w:type="dxa"/>
            <w:shd w:val="clear" w:color="auto" w:fill="auto"/>
            <w:noWrap/>
            <w:vAlign w:val="bottom"/>
            <w:hideMark/>
          </w:tcPr>
          <w:p w:rsidR="0020499E" w:rsidRDefault="008E27E1">
            <w:pPr>
              <w:jc w:val="center"/>
              <w:rPr>
                <w:rFonts w:eastAsia="Times New Roman" w:cs="Arial"/>
              </w:rPr>
            </w:pPr>
            <w:r>
              <w:rPr>
                <w:rFonts w:eastAsia="Times New Roman" w:cs="Arial"/>
              </w:rPr>
              <w:t>275</w:t>
            </w:r>
          </w:p>
        </w:tc>
      </w:tr>
      <w:tr w:rsidR="0020499E">
        <w:trPr>
          <w:trHeight w:val="312"/>
        </w:trPr>
        <w:tc>
          <w:tcPr>
            <w:tcW w:w="993" w:type="dxa"/>
            <w:shd w:val="clear" w:color="auto" w:fill="auto"/>
            <w:vAlign w:val="bottom"/>
            <w:hideMark/>
          </w:tcPr>
          <w:p w:rsidR="0020499E" w:rsidRDefault="008E27E1">
            <w:pPr>
              <w:jc w:val="center"/>
              <w:rPr>
                <w:rFonts w:eastAsia="Times New Roman" w:cs="Arial"/>
              </w:rPr>
            </w:pPr>
            <w:r>
              <w:rPr>
                <w:rFonts w:eastAsia="Times New Roman" w:cs="Arial"/>
              </w:rPr>
              <w:t>2013-2014</w:t>
            </w:r>
          </w:p>
        </w:tc>
        <w:tc>
          <w:tcPr>
            <w:tcW w:w="1134" w:type="dxa"/>
            <w:shd w:val="clear" w:color="auto" w:fill="auto"/>
            <w:vAlign w:val="bottom"/>
            <w:hideMark/>
          </w:tcPr>
          <w:p w:rsidR="0020499E" w:rsidRDefault="008E27E1">
            <w:pPr>
              <w:jc w:val="center"/>
              <w:rPr>
                <w:rFonts w:eastAsia="Times New Roman" w:cs="Arial"/>
              </w:rPr>
            </w:pPr>
            <w:r>
              <w:rPr>
                <w:rFonts w:eastAsia="Times New Roman" w:cs="Arial"/>
              </w:rPr>
              <w:t>5386</w:t>
            </w:r>
          </w:p>
        </w:tc>
        <w:tc>
          <w:tcPr>
            <w:tcW w:w="1325" w:type="dxa"/>
            <w:shd w:val="clear" w:color="auto" w:fill="auto"/>
            <w:vAlign w:val="bottom"/>
            <w:hideMark/>
          </w:tcPr>
          <w:p w:rsidR="0020499E" w:rsidRDefault="008E27E1">
            <w:pPr>
              <w:jc w:val="center"/>
              <w:rPr>
                <w:rFonts w:eastAsia="Times New Roman" w:cs="Arial"/>
              </w:rPr>
            </w:pPr>
            <w:r>
              <w:rPr>
                <w:rFonts w:eastAsia="Times New Roman" w:cs="Arial"/>
              </w:rPr>
              <w:t>1197</w:t>
            </w:r>
          </w:p>
        </w:tc>
        <w:tc>
          <w:tcPr>
            <w:tcW w:w="1962" w:type="dxa"/>
            <w:shd w:val="clear" w:color="auto" w:fill="auto"/>
            <w:vAlign w:val="bottom"/>
            <w:hideMark/>
          </w:tcPr>
          <w:p w:rsidR="0020499E" w:rsidRDefault="008E27E1">
            <w:pPr>
              <w:jc w:val="center"/>
              <w:rPr>
                <w:rFonts w:eastAsia="Times New Roman" w:cs="Arial"/>
              </w:rPr>
            </w:pPr>
            <w:r>
              <w:rPr>
                <w:rFonts w:eastAsia="Times New Roman" w:cs="Arial"/>
              </w:rPr>
              <w:t>1970</w:t>
            </w:r>
          </w:p>
        </w:tc>
        <w:tc>
          <w:tcPr>
            <w:tcW w:w="1850" w:type="dxa"/>
            <w:shd w:val="clear" w:color="auto" w:fill="auto"/>
            <w:vAlign w:val="bottom"/>
            <w:hideMark/>
          </w:tcPr>
          <w:p w:rsidR="0020499E" w:rsidRDefault="008E27E1">
            <w:pPr>
              <w:jc w:val="center"/>
              <w:rPr>
                <w:rFonts w:eastAsia="Times New Roman" w:cs="Arial"/>
              </w:rPr>
            </w:pPr>
            <w:r>
              <w:rPr>
                <w:rFonts w:eastAsia="Times New Roman" w:cs="Arial"/>
              </w:rPr>
              <w:t>982</w:t>
            </w:r>
          </w:p>
        </w:tc>
        <w:tc>
          <w:tcPr>
            <w:tcW w:w="1242" w:type="dxa"/>
            <w:shd w:val="clear" w:color="auto" w:fill="auto"/>
            <w:vAlign w:val="bottom"/>
            <w:hideMark/>
          </w:tcPr>
          <w:p w:rsidR="0020499E" w:rsidRDefault="008E27E1">
            <w:pPr>
              <w:jc w:val="center"/>
              <w:rPr>
                <w:rFonts w:eastAsia="Times New Roman" w:cs="Arial"/>
              </w:rPr>
            </w:pPr>
            <w:r>
              <w:rPr>
                <w:rFonts w:eastAsia="Times New Roman" w:cs="Arial"/>
              </w:rPr>
              <w:t>712</w:t>
            </w:r>
          </w:p>
        </w:tc>
        <w:tc>
          <w:tcPr>
            <w:tcW w:w="1701" w:type="dxa"/>
            <w:shd w:val="clear" w:color="auto" w:fill="auto"/>
            <w:vAlign w:val="bottom"/>
            <w:hideMark/>
          </w:tcPr>
          <w:p w:rsidR="0020499E" w:rsidRDefault="008E27E1">
            <w:pPr>
              <w:jc w:val="center"/>
              <w:rPr>
                <w:rFonts w:eastAsia="Times New Roman" w:cs="Arial"/>
              </w:rPr>
            </w:pPr>
            <w:r>
              <w:rPr>
                <w:rFonts w:eastAsia="Times New Roman" w:cs="Arial"/>
              </w:rPr>
              <w:t>525</w:t>
            </w:r>
          </w:p>
        </w:tc>
      </w:tr>
      <w:tr w:rsidR="0020499E">
        <w:trPr>
          <w:trHeight w:val="330"/>
        </w:trPr>
        <w:tc>
          <w:tcPr>
            <w:tcW w:w="10207" w:type="dxa"/>
            <w:gridSpan w:val="7"/>
            <w:shd w:val="clear" w:color="auto" w:fill="auto"/>
            <w:hideMark/>
          </w:tcPr>
          <w:p w:rsidR="0020499E" w:rsidRDefault="008E27E1">
            <w:pPr>
              <w:jc w:val="center"/>
              <w:rPr>
                <w:rFonts w:eastAsia="Times New Roman" w:cs="Arial"/>
                <w:b/>
              </w:rPr>
            </w:pPr>
            <w:r>
              <w:rPr>
                <w:rFonts w:eastAsia="Times New Roman"/>
                <w:b/>
              </w:rPr>
              <w:t>In private institutions, total</w:t>
            </w:r>
          </w:p>
        </w:tc>
      </w:tr>
      <w:tr w:rsidR="0020499E">
        <w:trPr>
          <w:trHeight w:val="312"/>
        </w:trPr>
        <w:tc>
          <w:tcPr>
            <w:tcW w:w="993" w:type="dxa"/>
            <w:shd w:val="clear" w:color="auto" w:fill="auto"/>
            <w:vAlign w:val="bottom"/>
            <w:hideMark/>
          </w:tcPr>
          <w:p w:rsidR="0020499E" w:rsidRDefault="008E27E1">
            <w:pPr>
              <w:jc w:val="center"/>
              <w:rPr>
                <w:rFonts w:eastAsia="Times New Roman" w:cs="Arial"/>
              </w:rPr>
            </w:pPr>
            <w:r>
              <w:rPr>
                <w:rFonts w:eastAsia="Times New Roman" w:cs="Arial"/>
              </w:rPr>
              <w:t>2007-2008</w:t>
            </w:r>
          </w:p>
        </w:tc>
        <w:tc>
          <w:tcPr>
            <w:tcW w:w="1134" w:type="dxa"/>
            <w:shd w:val="clear" w:color="auto" w:fill="auto"/>
            <w:vAlign w:val="bottom"/>
            <w:hideMark/>
          </w:tcPr>
          <w:p w:rsidR="0020499E" w:rsidRDefault="008E27E1">
            <w:pPr>
              <w:jc w:val="center"/>
              <w:rPr>
                <w:rFonts w:eastAsia="Times New Roman" w:cs="Arial"/>
              </w:rPr>
            </w:pPr>
            <w:r>
              <w:rPr>
                <w:rFonts w:eastAsia="Times New Roman" w:cs="Arial"/>
              </w:rPr>
              <w:t>1610</w:t>
            </w:r>
          </w:p>
        </w:tc>
        <w:tc>
          <w:tcPr>
            <w:tcW w:w="1325" w:type="dxa"/>
            <w:shd w:val="clear" w:color="auto" w:fill="auto"/>
            <w:vAlign w:val="bottom"/>
            <w:hideMark/>
          </w:tcPr>
          <w:p w:rsidR="0020499E" w:rsidRDefault="008E27E1">
            <w:pPr>
              <w:jc w:val="center"/>
              <w:rPr>
                <w:rFonts w:eastAsia="Times New Roman" w:cs="Arial"/>
              </w:rPr>
            </w:pPr>
            <w:r>
              <w:rPr>
                <w:rFonts w:eastAsia="Times New Roman" w:cs="Arial"/>
              </w:rPr>
              <w:t>538</w:t>
            </w:r>
          </w:p>
        </w:tc>
        <w:tc>
          <w:tcPr>
            <w:tcW w:w="1962" w:type="dxa"/>
            <w:shd w:val="clear" w:color="auto" w:fill="auto"/>
            <w:vAlign w:val="bottom"/>
            <w:hideMark/>
          </w:tcPr>
          <w:p w:rsidR="0020499E" w:rsidRDefault="008E27E1">
            <w:pPr>
              <w:jc w:val="center"/>
              <w:rPr>
                <w:rFonts w:eastAsia="Times New Roman" w:cs="Arial"/>
              </w:rPr>
            </w:pPr>
            <w:r>
              <w:rPr>
                <w:rFonts w:eastAsia="Times New Roman" w:cs="Arial"/>
              </w:rPr>
              <w:t>497</w:t>
            </w:r>
          </w:p>
        </w:tc>
        <w:tc>
          <w:tcPr>
            <w:tcW w:w="1850" w:type="dxa"/>
            <w:shd w:val="clear" w:color="auto" w:fill="auto"/>
            <w:vAlign w:val="bottom"/>
            <w:hideMark/>
          </w:tcPr>
          <w:p w:rsidR="0020499E" w:rsidRDefault="008E27E1">
            <w:pPr>
              <w:jc w:val="center"/>
              <w:rPr>
                <w:rFonts w:eastAsia="Times New Roman" w:cs="Arial"/>
              </w:rPr>
            </w:pPr>
            <w:r>
              <w:rPr>
                <w:rFonts w:eastAsia="Times New Roman" w:cs="Arial"/>
              </w:rPr>
              <w:t>575</w:t>
            </w:r>
          </w:p>
        </w:tc>
        <w:tc>
          <w:tcPr>
            <w:tcW w:w="1242" w:type="dxa"/>
            <w:shd w:val="clear" w:color="auto" w:fill="auto"/>
            <w:vAlign w:val="bottom"/>
            <w:hideMark/>
          </w:tcPr>
          <w:p w:rsidR="0020499E" w:rsidRDefault="008E27E1">
            <w:pPr>
              <w:jc w:val="center"/>
              <w:rPr>
                <w:rFonts w:eastAsia="Times New Roman" w:cs="Arial"/>
              </w:rPr>
            </w:pPr>
            <w:r>
              <w:rPr>
                <w:rFonts w:eastAsia="Times New Roman" w:cs="Arial"/>
              </w:rPr>
              <w:t>-</w:t>
            </w:r>
          </w:p>
        </w:tc>
        <w:tc>
          <w:tcPr>
            <w:tcW w:w="1701" w:type="dxa"/>
            <w:shd w:val="clear" w:color="auto" w:fill="auto"/>
            <w:noWrap/>
            <w:vAlign w:val="bottom"/>
            <w:hideMark/>
          </w:tcPr>
          <w:p w:rsidR="0020499E" w:rsidRDefault="0020499E">
            <w:pPr>
              <w:jc w:val="center"/>
              <w:rPr>
                <w:rFonts w:eastAsia="Times New Roman" w:cs="Arial"/>
              </w:rPr>
            </w:pPr>
          </w:p>
        </w:tc>
      </w:tr>
      <w:tr w:rsidR="0020499E">
        <w:trPr>
          <w:trHeight w:val="312"/>
        </w:trPr>
        <w:tc>
          <w:tcPr>
            <w:tcW w:w="993" w:type="dxa"/>
            <w:shd w:val="clear" w:color="auto" w:fill="auto"/>
            <w:vAlign w:val="bottom"/>
            <w:hideMark/>
          </w:tcPr>
          <w:p w:rsidR="0020499E" w:rsidRDefault="008E27E1">
            <w:pPr>
              <w:jc w:val="center"/>
              <w:rPr>
                <w:rFonts w:eastAsia="Times New Roman" w:cs="Arial"/>
              </w:rPr>
            </w:pPr>
            <w:r>
              <w:rPr>
                <w:rFonts w:eastAsia="Times New Roman" w:cs="Arial"/>
              </w:rPr>
              <w:t>2008-2009</w:t>
            </w:r>
          </w:p>
        </w:tc>
        <w:tc>
          <w:tcPr>
            <w:tcW w:w="1134" w:type="dxa"/>
            <w:shd w:val="clear" w:color="auto" w:fill="auto"/>
            <w:vAlign w:val="bottom"/>
            <w:hideMark/>
          </w:tcPr>
          <w:p w:rsidR="0020499E" w:rsidRDefault="008E27E1">
            <w:pPr>
              <w:jc w:val="center"/>
              <w:rPr>
                <w:rFonts w:eastAsia="Times New Roman" w:cs="Arial"/>
              </w:rPr>
            </w:pPr>
            <w:r>
              <w:rPr>
                <w:rFonts w:eastAsia="Times New Roman" w:cs="Arial"/>
              </w:rPr>
              <w:t>1568</w:t>
            </w:r>
          </w:p>
        </w:tc>
        <w:tc>
          <w:tcPr>
            <w:tcW w:w="1325" w:type="dxa"/>
            <w:shd w:val="clear" w:color="auto" w:fill="auto"/>
            <w:vAlign w:val="bottom"/>
            <w:hideMark/>
          </w:tcPr>
          <w:p w:rsidR="0020499E" w:rsidRDefault="008E27E1">
            <w:pPr>
              <w:jc w:val="center"/>
              <w:rPr>
                <w:rFonts w:eastAsia="Times New Roman" w:cs="Arial"/>
              </w:rPr>
            </w:pPr>
            <w:r>
              <w:rPr>
                <w:rFonts w:eastAsia="Times New Roman" w:cs="Arial"/>
              </w:rPr>
              <w:t>515</w:t>
            </w:r>
          </w:p>
        </w:tc>
        <w:tc>
          <w:tcPr>
            <w:tcW w:w="1962" w:type="dxa"/>
            <w:shd w:val="clear" w:color="auto" w:fill="auto"/>
            <w:vAlign w:val="bottom"/>
            <w:hideMark/>
          </w:tcPr>
          <w:p w:rsidR="0020499E" w:rsidRDefault="008E27E1">
            <w:pPr>
              <w:jc w:val="center"/>
              <w:rPr>
                <w:rFonts w:eastAsia="Times New Roman" w:cs="Arial"/>
              </w:rPr>
            </w:pPr>
            <w:r>
              <w:rPr>
                <w:rFonts w:eastAsia="Times New Roman" w:cs="Arial"/>
              </w:rPr>
              <w:t>508</w:t>
            </w:r>
          </w:p>
        </w:tc>
        <w:tc>
          <w:tcPr>
            <w:tcW w:w="1850" w:type="dxa"/>
            <w:shd w:val="clear" w:color="auto" w:fill="auto"/>
            <w:vAlign w:val="bottom"/>
            <w:hideMark/>
          </w:tcPr>
          <w:p w:rsidR="0020499E" w:rsidRDefault="008E27E1">
            <w:pPr>
              <w:jc w:val="center"/>
              <w:rPr>
                <w:rFonts w:eastAsia="Times New Roman" w:cs="Arial"/>
              </w:rPr>
            </w:pPr>
            <w:r>
              <w:rPr>
                <w:rFonts w:eastAsia="Times New Roman" w:cs="Arial"/>
              </w:rPr>
              <w:t>545</w:t>
            </w:r>
          </w:p>
        </w:tc>
        <w:tc>
          <w:tcPr>
            <w:tcW w:w="1242" w:type="dxa"/>
            <w:shd w:val="clear" w:color="auto" w:fill="auto"/>
            <w:vAlign w:val="bottom"/>
            <w:hideMark/>
          </w:tcPr>
          <w:p w:rsidR="0020499E" w:rsidRDefault="008E27E1">
            <w:pPr>
              <w:jc w:val="center"/>
              <w:rPr>
                <w:rFonts w:eastAsia="Times New Roman" w:cs="Arial"/>
              </w:rPr>
            </w:pPr>
            <w:r>
              <w:rPr>
                <w:rFonts w:eastAsia="Times New Roman" w:cs="Arial"/>
              </w:rPr>
              <w:t>-</w:t>
            </w:r>
          </w:p>
        </w:tc>
        <w:tc>
          <w:tcPr>
            <w:tcW w:w="1701" w:type="dxa"/>
            <w:shd w:val="clear" w:color="auto" w:fill="auto"/>
            <w:noWrap/>
            <w:vAlign w:val="bottom"/>
            <w:hideMark/>
          </w:tcPr>
          <w:p w:rsidR="0020499E" w:rsidRDefault="0020499E">
            <w:pPr>
              <w:jc w:val="center"/>
              <w:rPr>
                <w:rFonts w:eastAsia="Times New Roman" w:cs="Arial"/>
              </w:rPr>
            </w:pPr>
          </w:p>
        </w:tc>
      </w:tr>
      <w:tr w:rsidR="0020499E">
        <w:trPr>
          <w:trHeight w:val="312"/>
        </w:trPr>
        <w:tc>
          <w:tcPr>
            <w:tcW w:w="993" w:type="dxa"/>
            <w:shd w:val="clear" w:color="auto" w:fill="auto"/>
            <w:vAlign w:val="bottom"/>
            <w:hideMark/>
          </w:tcPr>
          <w:p w:rsidR="0020499E" w:rsidRDefault="008E27E1">
            <w:pPr>
              <w:jc w:val="center"/>
              <w:rPr>
                <w:rFonts w:eastAsia="Times New Roman" w:cs="Arial"/>
              </w:rPr>
            </w:pPr>
            <w:r>
              <w:rPr>
                <w:rFonts w:eastAsia="Times New Roman" w:cs="Arial"/>
              </w:rPr>
              <w:t>2009-2010</w:t>
            </w:r>
          </w:p>
        </w:tc>
        <w:tc>
          <w:tcPr>
            <w:tcW w:w="1134" w:type="dxa"/>
            <w:shd w:val="clear" w:color="auto" w:fill="auto"/>
            <w:vAlign w:val="bottom"/>
            <w:hideMark/>
          </w:tcPr>
          <w:p w:rsidR="0020499E" w:rsidRDefault="008E27E1">
            <w:pPr>
              <w:jc w:val="center"/>
              <w:rPr>
                <w:rFonts w:eastAsia="Times New Roman" w:cs="Arial"/>
              </w:rPr>
            </w:pPr>
            <w:r>
              <w:rPr>
                <w:rFonts w:eastAsia="Times New Roman" w:cs="Arial"/>
              </w:rPr>
              <w:t>2151</w:t>
            </w:r>
          </w:p>
        </w:tc>
        <w:tc>
          <w:tcPr>
            <w:tcW w:w="1325" w:type="dxa"/>
            <w:shd w:val="clear" w:color="auto" w:fill="auto"/>
            <w:vAlign w:val="bottom"/>
            <w:hideMark/>
          </w:tcPr>
          <w:p w:rsidR="0020499E" w:rsidRDefault="008E27E1">
            <w:pPr>
              <w:jc w:val="center"/>
              <w:rPr>
                <w:rFonts w:eastAsia="Times New Roman" w:cs="Arial"/>
              </w:rPr>
            </w:pPr>
            <w:r>
              <w:rPr>
                <w:rFonts w:eastAsia="Times New Roman" w:cs="Arial"/>
              </w:rPr>
              <w:t>755</w:t>
            </w:r>
          </w:p>
        </w:tc>
        <w:tc>
          <w:tcPr>
            <w:tcW w:w="1962" w:type="dxa"/>
            <w:shd w:val="clear" w:color="auto" w:fill="auto"/>
            <w:vAlign w:val="bottom"/>
            <w:hideMark/>
          </w:tcPr>
          <w:p w:rsidR="0020499E" w:rsidRDefault="008E27E1">
            <w:pPr>
              <w:jc w:val="center"/>
              <w:rPr>
                <w:rFonts w:eastAsia="Times New Roman" w:cs="Arial"/>
              </w:rPr>
            </w:pPr>
            <w:r>
              <w:rPr>
                <w:rFonts w:eastAsia="Times New Roman" w:cs="Arial"/>
              </w:rPr>
              <w:t>758</w:t>
            </w:r>
          </w:p>
        </w:tc>
        <w:tc>
          <w:tcPr>
            <w:tcW w:w="1850" w:type="dxa"/>
            <w:shd w:val="clear" w:color="auto" w:fill="auto"/>
            <w:vAlign w:val="bottom"/>
            <w:hideMark/>
          </w:tcPr>
          <w:p w:rsidR="0020499E" w:rsidRDefault="008E27E1">
            <w:pPr>
              <w:jc w:val="center"/>
              <w:rPr>
                <w:rFonts w:eastAsia="Times New Roman" w:cs="Arial"/>
              </w:rPr>
            </w:pPr>
            <w:r>
              <w:rPr>
                <w:rFonts w:eastAsia="Times New Roman" w:cs="Arial"/>
              </w:rPr>
              <w:t>420</w:t>
            </w:r>
          </w:p>
        </w:tc>
        <w:tc>
          <w:tcPr>
            <w:tcW w:w="1242" w:type="dxa"/>
            <w:shd w:val="clear" w:color="auto" w:fill="auto"/>
            <w:vAlign w:val="bottom"/>
            <w:hideMark/>
          </w:tcPr>
          <w:p w:rsidR="0020499E" w:rsidRDefault="008E27E1">
            <w:pPr>
              <w:jc w:val="center"/>
              <w:rPr>
                <w:rFonts w:eastAsia="Times New Roman" w:cs="Arial"/>
              </w:rPr>
            </w:pPr>
            <w:r>
              <w:rPr>
                <w:rFonts w:eastAsia="Times New Roman" w:cs="Arial"/>
              </w:rPr>
              <w:t>218</w:t>
            </w:r>
          </w:p>
        </w:tc>
        <w:tc>
          <w:tcPr>
            <w:tcW w:w="1701" w:type="dxa"/>
            <w:shd w:val="clear" w:color="auto" w:fill="auto"/>
            <w:noWrap/>
            <w:vAlign w:val="bottom"/>
            <w:hideMark/>
          </w:tcPr>
          <w:p w:rsidR="0020499E" w:rsidRDefault="0020499E">
            <w:pPr>
              <w:jc w:val="center"/>
              <w:rPr>
                <w:rFonts w:eastAsia="Times New Roman" w:cs="Arial"/>
              </w:rPr>
            </w:pPr>
          </w:p>
        </w:tc>
      </w:tr>
      <w:tr w:rsidR="0020499E">
        <w:trPr>
          <w:trHeight w:val="312"/>
        </w:trPr>
        <w:tc>
          <w:tcPr>
            <w:tcW w:w="993" w:type="dxa"/>
            <w:shd w:val="clear" w:color="auto" w:fill="auto"/>
            <w:vAlign w:val="bottom"/>
            <w:hideMark/>
          </w:tcPr>
          <w:p w:rsidR="0020499E" w:rsidRDefault="008E27E1">
            <w:pPr>
              <w:jc w:val="center"/>
              <w:rPr>
                <w:rFonts w:eastAsia="Times New Roman" w:cs="Arial"/>
              </w:rPr>
            </w:pPr>
            <w:r>
              <w:rPr>
                <w:rFonts w:eastAsia="Times New Roman" w:cs="Arial"/>
              </w:rPr>
              <w:t>2011-2012</w:t>
            </w:r>
          </w:p>
        </w:tc>
        <w:tc>
          <w:tcPr>
            <w:tcW w:w="1134" w:type="dxa"/>
            <w:shd w:val="clear" w:color="auto" w:fill="auto"/>
            <w:vAlign w:val="bottom"/>
            <w:hideMark/>
          </w:tcPr>
          <w:p w:rsidR="0020499E" w:rsidRDefault="008E27E1">
            <w:pPr>
              <w:jc w:val="center"/>
              <w:rPr>
                <w:rFonts w:eastAsia="Times New Roman" w:cs="Arial"/>
              </w:rPr>
            </w:pPr>
            <w:r>
              <w:rPr>
                <w:rFonts w:eastAsia="Times New Roman" w:cs="Arial"/>
              </w:rPr>
              <w:t>2415</w:t>
            </w:r>
          </w:p>
        </w:tc>
        <w:tc>
          <w:tcPr>
            <w:tcW w:w="1325" w:type="dxa"/>
            <w:shd w:val="clear" w:color="auto" w:fill="auto"/>
            <w:vAlign w:val="bottom"/>
            <w:hideMark/>
          </w:tcPr>
          <w:p w:rsidR="0020499E" w:rsidRDefault="008E27E1">
            <w:pPr>
              <w:jc w:val="center"/>
              <w:rPr>
                <w:rFonts w:eastAsia="Times New Roman" w:cs="Arial"/>
              </w:rPr>
            </w:pPr>
            <w:r>
              <w:rPr>
                <w:rFonts w:eastAsia="Times New Roman" w:cs="Arial"/>
              </w:rPr>
              <w:t>495</w:t>
            </w:r>
          </w:p>
        </w:tc>
        <w:tc>
          <w:tcPr>
            <w:tcW w:w="1962" w:type="dxa"/>
            <w:shd w:val="clear" w:color="auto" w:fill="auto"/>
            <w:vAlign w:val="bottom"/>
            <w:hideMark/>
          </w:tcPr>
          <w:p w:rsidR="0020499E" w:rsidRDefault="008E27E1">
            <w:pPr>
              <w:jc w:val="center"/>
              <w:rPr>
                <w:rFonts w:eastAsia="Times New Roman" w:cs="Arial"/>
              </w:rPr>
            </w:pPr>
            <w:r>
              <w:rPr>
                <w:rFonts w:eastAsia="Times New Roman" w:cs="Arial"/>
              </w:rPr>
              <w:t>786</w:t>
            </w:r>
          </w:p>
        </w:tc>
        <w:tc>
          <w:tcPr>
            <w:tcW w:w="1850" w:type="dxa"/>
            <w:shd w:val="clear" w:color="auto" w:fill="auto"/>
            <w:vAlign w:val="bottom"/>
            <w:hideMark/>
          </w:tcPr>
          <w:p w:rsidR="0020499E" w:rsidRDefault="008E27E1">
            <w:pPr>
              <w:jc w:val="center"/>
              <w:rPr>
                <w:rFonts w:eastAsia="Times New Roman" w:cs="Arial"/>
              </w:rPr>
            </w:pPr>
            <w:r>
              <w:rPr>
                <w:rFonts w:eastAsia="Times New Roman" w:cs="Arial"/>
              </w:rPr>
              <w:t>272</w:t>
            </w:r>
          </w:p>
        </w:tc>
        <w:tc>
          <w:tcPr>
            <w:tcW w:w="1242" w:type="dxa"/>
            <w:shd w:val="clear" w:color="auto" w:fill="auto"/>
            <w:vAlign w:val="bottom"/>
            <w:hideMark/>
          </w:tcPr>
          <w:p w:rsidR="0020499E" w:rsidRDefault="008E27E1">
            <w:pPr>
              <w:jc w:val="center"/>
              <w:rPr>
                <w:rFonts w:eastAsia="Times New Roman" w:cs="Arial"/>
              </w:rPr>
            </w:pPr>
            <w:r>
              <w:rPr>
                <w:rFonts w:eastAsia="Times New Roman" w:cs="Arial"/>
              </w:rPr>
              <w:t>681</w:t>
            </w:r>
          </w:p>
        </w:tc>
        <w:tc>
          <w:tcPr>
            <w:tcW w:w="1701" w:type="dxa"/>
            <w:shd w:val="clear" w:color="auto" w:fill="auto"/>
            <w:noWrap/>
            <w:vAlign w:val="bottom"/>
            <w:hideMark/>
          </w:tcPr>
          <w:p w:rsidR="0020499E" w:rsidRDefault="008E27E1">
            <w:pPr>
              <w:jc w:val="center"/>
              <w:rPr>
                <w:rFonts w:eastAsia="Times New Roman" w:cs="Arial"/>
              </w:rPr>
            </w:pPr>
            <w:r>
              <w:rPr>
                <w:rFonts w:eastAsia="Times New Roman" w:cs="Arial"/>
              </w:rPr>
              <w:t>181</w:t>
            </w:r>
          </w:p>
        </w:tc>
      </w:tr>
      <w:tr w:rsidR="0020499E">
        <w:trPr>
          <w:trHeight w:val="312"/>
        </w:trPr>
        <w:tc>
          <w:tcPr>
            <w:tcW w:w="993" w:type="dxa"/>
            <w:shd w:val="clear" w:color="auto" w:fill="auto"/>
            <w:vAlign w:val="bottom"/>
            <w:hideMark/>
          </w:tcPr>
          <w:p w:rsidR="0020499E" w:rsidRDefault="008E27E1">
            <w:pPr>
              <w:jc w:val="center"/>
              <w:rPr>
                <w:rFonts w:eastAsia="Times New Roman" w:cs="Arial"/>
              </w:rPr>
            </w:pPr>
            <w:r>
              <w:rPr>
                <w:rFonts w:eastAsia="Times New Roman" w:cs="Arial"/>
              </w:rPr>
              <w:t>2012-2013</w:t>
            </w:r>
          </w:p>
        </w:tc>
        <w:tc>
          <w:tcPr>
            <w:tcW w:w="1134" w:type="dxa"/>
            <w:shd w:val="clear" w:color="auto" w:fill="auto"/>
            <w:vAlign w:val="bottom"/>
            <w:hideMark/>
          </w:tcPr>
          <w:p w:rsidR="0020499E" w:rsidRDefault="008E27E1">
            <w:pPr>
              <w:jc w:val="center"/>
              <w:rPr>
                <w:rFonts w:eastAsia="Times New Roman" w:cs="Arial"/>
              </w:rPr>
            </w:pPr>
            <w:r>
              <w:rPr>
                <w:rFonts w:eastAsia="Times New Roman" w:cs="Arial"/>
              </w:rPr>
              <w:t>1963</w:t>
            </w:r>
          </w:p>
        </w:tc>
        <w:tc>
          <w:tcPr>
            <w:tcW w:w="1325" w:type="dxa"/>
            <w:shd w:val="clear" w:color="auto" w:fill="auto"/>
            <w:vAlign w:val="bottom"/>
            <w:hideMark/>
          </w:tcPr>
          <w:p w:rsidR="0020499E" w:rsidRDefault="008E27E1">
            <w:pPr>
              <w:jc w:val="center"/>
              <w:rPr>
                <w:rFonts w:eastAsia="Times New Roman" w:cs="Arial"/>
              </w:rPr>
            </w:pPr>
            <w:r>
              <w:rPr>
                <w:rFonts w:eastAsia="Times New Roman" w:cs="Arial"/>
              </w:rPr>
              <w:t>564</w:t>
            </w:r>
          </w:p>
        </w:tc>
        <w:tc>
          <w:tcPr>
            <w:tcW w:w="1962" w:type="dxa"/>
            <w:shd w:val="clear" w:color="auto" w:fill="auto"/>
            <w:vAlign w:val="bottom"/>
            <w:hideMark/>
          </w:tcPr>
          <w:p w:rsidR="0020499E" w:rsidRDefault="008E27E1">
            <w:pPr>
              <w:jc w:val="center"/>
              <w:rPr>
                <w:rFonts w:eastAsia="Times New Roman" w:cs="Arial"/>
              </w:rPr>
            </w:pPr>
            <w:r>
              <w:rPr>
                <w:rFonts w:eastAsia="Times New Roman" w:cs="Arial"/>
              </w:rPr>
              <w:t>798</w:t>
            </w:r>
          </w:p>
        </w:tc>
        <w:tc>
          <w:tcPr>
            <w:tcW w:w="1850" w:type="dxa"/>
            <w:shd w:val="clear" w:color="auto" w:fill="auto"/>
            <w:vAlign w:val="bottom"/>
            <w:hideMark/>
          </w:tcPr>
          <w:p w:rsidR="0020499E" w:rsidRDefault="008E27E1">
            <w:pPr>
              <w:jc w:val="center"/>
              <w:rPr>
                <w:rFonts w:eastAsia="Times New Roman" w:cs="Arial"/>
              </w:rPr>
            </w:pPr>
            <w:r>
              <w:rPr>
                <w:rFonts w:eastAsia="Times New Roman" w:cs="Arial"/>
              </w:rPr>
              <w:t>265</w:t>
            </w:r>
          </w:p>
        </w:tc>
        <w:tc>
          <w:tcPr>
            <w:tcW w:w="1242" w:type="dxa"/>
            <w:shd w:val="clear" w:color="auto" w:fill="auto"/>
            <w:vAlign w:val="bottom"/>
            <w:hideMark/>
          </w:tcPr>
          <w:p w:rsidR="0020499E" w:rsidRDefault="008E27E1">
            <w:pPr>
              <w:jc w:val="center"/>
              <w:rPr>
                <w:rFonts w:eastAsia="Times New Roman" w:cs="Arial"/>
              </w:rPr>
            </w:pPr>
            <w:r>
              <w:rPr>
                <w:rFonts w:eastAsia="Times New Roman" w:cs="Arial"/>
              </w:rPr>
              <w:t>313</w:t>
            </w:r>
          </w:p>
        </w:tc>
        <w:tc>
          <w:tcPr>
            <w:tcW w:w="1701" w:type="dxa"/>
            <w:shd w:val="clear" w:color="auto" w:fill="auto"/>
            <w:noWrap/>
            <w:vAlign w:val="bottom"/>
            <w:hideMark/>
          </w:tcPr>
          <w:p w:rsidR="0020499E" w:rsidRDefault="008E27E1">
            <w:pPr>
              <w:jc w:val="center"/>
              <w:rPr>
                <w:rFonts w:eastAsia="Times New Roman" w:cs="Arial"/>
              </w:rPr>
            </w:pPr>
            <w:r>
              <w:rPr>
                <w:rFonts w:eastAsia="Times New Roman" w:cs="Arial"/>
              </w:rPr>
              <w:t>23</w:t>
            </w:r>
          </w:p>
        </w:tc>
      </w:tr>
      <w:tr w:rsidR="0020499E">
        <w:trPr>
          <w:trHeight w:val="312"/>
        </w:trPr>
        <w:tc>
          <w:tcPr>
            <w:tcW w:w="993" w:type="dxa"/>
            <w:tcBorders>
              <w:bottom w:val="single" w:sz="4" w:space="0" w:color="auto"/>
            </w:tcBorders>
            <w:shd w:val="clear" w:color="auto" w:fill="auto"/>
            <w:vAlign w:val="bottom"/>
            <w:hideMark/>
          </w:tcPr>
          <w:p w:rsidR="0020499E" w:rsidRDefault="008E27E1">
            <w:pPr>
              <w:jc w:val="center"/>
              <w:rPr>
                <w:rFonts w:eastAsia="Times New Roman" w:cs="Arial"/>
              </w:rPr>
            </w:pPr>
            <w:r>
              <w:rPr>
                <w:rFonts w:eastAsia="Times New Roman" w:cs="Arial"/>
              </w:rPr>
              <w:t>2013-2014</w:t>
            </w:r>
          </w:p>
        </w:tc>
        <w:tc>
          <w:tcPr>
            <w:tcW w:w="1134" w:type="dxa"/>
            <w:tcBorders>
              <w:bottom w:val="single" w:sz="4" w:space="0" w:color="auto"/>
            </w:tcBorders>
            <w:shd w:val="clear" w:color="auto" w:fill="auto"/>
            <w:vAlign w:val="bottom"/>
            <w:hideMark/>
          </w:tcPr>
          <w:p w:rsidR="0020499E" w:rsidRDefault="008E27E1">
            <w:pPr>
              <w:jc w:val="center"/>
              <w:rPr>
                <w:rFonts w:eastAsia="Times New Roman" w:cs="Arial"/>
              </w:rPr>
            </w:pPr>
            <w:r>
              <w:rPr>
                <w:rFonts w:eastAsia="Times New Roman" w:cs="Arial"/>
              </w:rPr>
              <w:t>2890</w:t>
            </w:r>
          </w:p>
        </w:tc>
        <w:tc>
          <w:tcPr>
            <w:tcW w:w="1325" w:type="dxa"/>
            <w:tcBorders>
              <w:bottom w:val="single" w:sz="4" w:space="0" w:color="auto"/>
            </w:tcBorders>
            <w:shd w:val="clear" w:color="auto" w:fill="auto"/>
            <w:vAlign w:val="bottom"/>
            <w:hideMark/>
          </w:tcPr>
          <w:p w:rsidR="0020499E" w:rsidRDefault="008E27E1">
            <w:pPr>
              <w:jc w:val="center"/>
              <w:rPr>
                <w:rFonts w:eastAsia="Times New Roman" w:cs="Arial"/>
              </w:rPr>
            </w:pPr>
            <w:r>
              <w:rPr>
                <w:rFonts w:eastAsia="Times New Roman" w:cs="Arial"/>
              </w:rPr>
              <w:t>647</w:t>
            </w:r>
          </w:p>
        </w:tc>
        <w:tc>
          <w:tcPr>
            <w:tcW w:w="1962" w:type="dxa"/>
            <w:tcBorders>
              <w:bottom w:val="single" w:sz="4" w:space="0" w:color="auto"/>
            </w:tcBorders>
            <w:shd w:val="clear" w:color="auto" w:fill="auto"/>
            <w:vAlign w:val="bottom"/>
            <w:hideMark/>
          </w:tcPr>
          <w:p w:rsidR="0020499E" w:rsidRDefault="008E27E1">
            <w:pPr>
              <w:jc w:val="center"/>
              <w:rPr>
                <w:rFonts w:eastAsia="Times New Roman" w:cs="Arial"/>
              </w:rPr>
            </w:pPr>
            <w:r>
              <w:rPr>
                <w:rFonts w:eastAsia="Times New Roman" w:cs="Arial"/>
              </w:rPr>
              <w:t>1026</w:t>
            </w:r>
          </w:p>
        </w:tc>
        <w:tc>
          <w:tcPr>
            <w:tcW w:w="1850" w:type="dxa"/>
            <w:tcBorders>
              <w:bottom w:val="single" w:sz="4" w:space="0" w:color="auto"/>
            </w:tcBorders>
            <w:shd w:val="clear" w:color="auto" w:fill="auto"/>
            <w:vAlign w:val="bottom"/>
            <w:hideMark/>
          </w:tcPr>
          <w:p w:rsidR="0020499E" w:rsidRDefault="008E27E1">
            <w:pPr>
              <w:jc w:val="center"/>
              <w:rPr>
                <w:rFonts w:eastAsia="Times New Roman" w:cs="Arial"/>
              </w:rPr>
            </w:pPr>
            <w:r>
              <w:rPr>
                <w:rFonts w:eastAsia="Times New Roman" w:cs="Arial"/>
              </w:rPr>
              <w:t>314</w:t>
            </w:r>
          </w:p>
        </w:tc>
        <w:tc>
          <w:tcPr>
            <w:tcW w:w="1242" w:type="dxa"/>
            <w:tcBorders>
              <w:bottom w:val="single" w:sz="4" w:space="0" w:color="auto"/>
            </w:tcBorders>
            <w:shd w:val="clear" w:color="auto" w:fill="auto"/>
            <w:vAlign w:val="bottom"/>
            <w:hideMark/>
          </w:tcPr>
          <w:p w:rsidR="0020499E" w:rsidRDefault="008E27E1">
            <w:pPr>
              <w:jc w:val="center"/>
              <w:rPr>
                <w:rFonts w:eastAsia="Times New Roman" w:cs="Arial"/>
              </w:rPr>
            </w:pPr>
            <w:r>
              <w:rPr>
                <w:rFonts w:eastAsia="Times New Roman" w:cs="Arial"/>
              </w:rPr>
              <w:t>815</w:t>
            </w:r>
          </w:p>
        </w:tc>
        <w:tc>
          <w:tcPr>
            <w:tcW w:w="1701" w:type="dxa"/>
            <w:tcBorders>
              <w:bottom w:val="single" w:sz="4" w:space="0" w:color="auto"/>
            </w:tcBorders>
            <w:shd w:val="clear" w:color="auto" w:fill="auto"/>
            <w:noWrap/>
            <w:vAlign w:val="bottom"/>
            <w:hideMark/>
          </w:tcPr>
          <w:p w:rsidR="0020499E" w:rsidRDefault="008E27E1">
            <w:pPr>
              <w:jc w:val="center"/>
              <w:rPr>
                <w:rFonts w:eastAsia="Times New Roman" w:cs="Arial"/>
              </w:rPr>
            </w:pPr>
            <w:r>
              <w:rPr>
                <w:rFonts w:eastAsia="Times New Roman" w:cs="Arial"/>
              </w:rPr>
              <w:t>88</w:t>
            </w:r>
          </w:p>
        </w:tc>
      </w:tr>
      <w:tr w:rsidR="0020499E">
        <w:trPr>
          <w:trHeight w:val="255"/>
        </w:trPr>
        <w:tc>
          <w:tcPr>
            <w:tcW w:w="10207" w:type="dxa"/>
            <w:gridSpan w:val="7"/>
            <w:tcBorders>
              <w:left w:val="nil"/>
              <w:bottom w:val="nil"/>
              <w:right w:val="nil"/>
            </w:tcBorders>
            <w:shd w:val="clear" w:color="auto" w:fill="auto"/>
            <w:hideMark/>
          </w:tcPr>
          <w:p w:rsidR="0020499E" w:rsidRDefault="008E27E1">
            <w:pPr>
              <w:rPr>
                <w:rFonts w:eastAsia="Times New Roman"/>
              </w:rPr>
            </w:pPr>
            <w:r>
              <w:rPr>
                <w:rFonts w:eastAsia="Times New Roman"/>
              </w:rPr>
              <w:t xml:space="preserve"> Source: National  Statistics Office of  Georgia.</w:t>
            </w:r>
          </w:p>
        </w:tc>
      </w:tr>
    </w:tbl>
    <w:p w:rsidR="0020499E" w:rsidRDefault="0020499E"/>
    <w:p w:rsidR="0020499E" w:rsidRDefault="0020499E"/>
    <w:p w:rsidR="0020499E" w:rsidRDefault="0020499E"/>
    <w:p w:rsidR="0020499E" w:rsidRDefault="008E27E1">
      <w:pPr>
        <w:ind w:left="360"/>
        <w:rPr>
          <w:b/>
          <w:bCs/>
        </w:rPr>
      </w:pPr>
      <w:r>
        <w:rPr>
          <w:b/>
          <w:bCs/>
        </w:rPr>
        <w:t>e. Number of scientific heads of doctoral</w:t>
      </w:r>
      <w:r>
        <w:rPr>
          <w:b/>
          <w:bCs/>
        </w:rPr>
        <w:t xml:space="preserve"> candidates</w:t>
      </w:r>
    </w:p>
    <w:p w:rsidR="0020499E" w:rsidRDefault="0020499E">
      <w:pPr>
        <w:ind w:firstLine="720"/>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8"/>
        <w:gridCol w:w="992"/>
        <w:gridCol w:w="992"/>
        <w:gridCol w:w="992"/>
        <w:gridCol w:w="993"/>
      </w:tblGrid>
      <w:tr w:rsidR="0020499E">
        <w:trPr>
          <w:trHeight w:val="312"/>
        </w:trPr>
        <w:tc>
          <w:tcPr>
            <w:tcW w:w="6238" w:type="dxa"/>
            <w:tcBorders>
              <w:top w:val="nil"/>
              <w:left w:val="nil"/>
            </w:tcBorders>
            <w:shd w:val="clear" w:color="auto" w:fill="auto"/>
            <w:noWrap/>
            <w:vAlign w:val="bottom"/>
            <w:hideMark/>
          </w:tcPr>
          <w:p w:rsidR="0020499E" w:rsidRDefault="008E27E1">
            <w:pPr>
              <w:rPr>
                <w:rFonts w:eastAsia="Times New Roman" w:cs="Arial"/>
              </w:rPr>
            </w:pPr>
            <w:r>
              <w:rPr>
                <w:rFonts w:eastAsia="Times New Roman" w:cs="Arial"/>
              </w:rPr>
              <w:t> </w:t>
            </w:r>
          </w:p>
        </w:tc>
        <w:tc>
          <w:tcPr>
            <w:tcW w:w="992" w:type="dxa"/>
            <w:shd w:val="clear" w:color="auto" w:fill="auto"/>
            <w:noWrap/>
            <w:vAlign w:val="bottom"/>
            <w:hideMark/>
          </w:tcPr>
          <w:p w:rsidR="0020499E" w:rsidRDefault="008E27E1">
            <w:pPr>
              <w:jc w:val="center"/>
              <w:rPr>
                <w:rFonts w:eastAsia="Times New Roman" w:cs="Arial"/>
                <w:b/>
              </w:rPr>
            </w:pPr>
            <w:r>
              <w:rPr>
                <w:rFonts w:eastAsia="Times New Roman" w:cs="Arial"/>
                <w:b/>
              </w:rPr>
              <w:t>2009</w:t>
            </w:r>
          </w:p>
        </w:tc>
        <w:tc>
          <w:tcPr>
            <w:tcW w:w="992" w:type="dxa"/>
            <w:shd w:val="clear" w:color="auto" w:fill="auto"/>
            <w:noWrap/>
            <w:vAlign w:val="bottom"/>
            <w:hideMark/>
          </w:tcPr>
          <w:p w:rsidR="0020499E" w:rsidRDefault="008E27E1">
            <w:pPr>
              <w:jc w:val="center"/>
              <w:rPr>
                <w:rFonts w:eastAsia="Times New Roman" w:cs="Arial"/>
                <w:b/>
              </w:rPr>
            </w:pPr>
            <w:r>
              <w:rPr>
                <w:rFonts w:eastAsia="Times New Roman" w:cs="Arial"/>
                <w:b/>
              </w:rPr>
              <w:t>2011</w:t>
            </w:r>
          </w:p>
        </w:tc>
        <w:tc>
          <w:tcPr>
            <w:tcW w:w="992" w:type="dxa"/>
            <w:shd w:val="clear" w:color="auto" w:fill="auto"/>
            <w:noWrap/>
            <w:vAlign w:val="bottom"/>
            <w:hideMark/>
          </w:tcPr>
          <w:p w:rsidR="0020499E" w:rsidRDefault="008E27E1">
            <w:pPr>
              <w:jc w:val="center"/>
              <w:rPr>
                <w:rFonts w:eastAsia="Times New Roman" w:cs="Arial"/>
                <w:b/>
              </w:rPr>
            </w:pPr>
            <w:r>
              <w:rPr>
                <w:rFonts w:eastAsia="Times New Roman" w:cs="Arial"/>
                <w:b/>
              </w:rPr>
              <w:t>2012</w:t>
            </w:r>
          </w:p>
        </w:tc>
        <w:tc>
          <w:tcPr>
            <w:tcW w:w="993" w:type="dxa"/>
            <w:shd w:val="clear" w:color="auto" w:fill="auto"/>
            <w:noWrap/>
            <w:vAlign w:val="bottom"/>
            <w:hideMark/>
          </w:tcPr>
          <w:p w:rsidR="0020499E" w:rsidRDefault="008E27E1">
            <w:pPr>
              <w:jc w:val="center"/>
              <w:rPr>
                <w:rFonts w:eastAsia="Times New Roman" w:cs="Arial"/>
                <w:b/>
              </w:rPr>
            </w:pPr>
            <w:r>
              <w:rPr>
                <w:rFonts w:eastAsia="Times New Roman" w:cs="Arial"/>
                <w:b/>
              </w:rPr>
              <w:t>2013</w:t>
            </w:r>
          </w:p>
        </w:tc>
      </w:tr>
      <w:tr w:rsidR="0020499E">
        <w:trPr>
          <w:trHeight w:val="312"/>
        </w:trPr>
        <w:tc>
          <w:tcPr>
            <w:tcW w:w="6238" w:type="dxa"/>
            <w:shd w:val="clear" w:color="auto" w:fill="auto"/>
            <w:vAlign w:val="center"/>
            <w:hideMark/>
          </w:tcPr>
          <w:p w:rsidR="0020499E" w:rsidRDefault="008E27E1">
            <w:pPr>
              <w:rPr>
                <w:rFonts w:eastAsia="Times New Roman"/>
                <w:bCs/>
                <w:color w:val="000000"/>
              </w:rPr>
            </w:pPr>
            <w:r>
              <w:rPr>
                <w:rFonts w:eastAsia="Times New Roman"/>
                <w:bCs/>
                <w:color w:val="000000"/>
              </w:rPr>
              <w:t>Number of scientific heads</w:t>
            </w:r>
          </w:p>
        </w:tc>
        <w:tc>
          <w:tcPr>
            <w:tcW w:w="992" w:type="dxa"/>
            <w:shd w:val="clear" w:color="auto" w:fill="auto"/>
            <w:noWrap/>
            <w:vAlign w:val="bottom"/>
            <w:hideMark/>
          </w:tcPr>
          <w:p w:rsidR="0020499E" w:rsidRDefault="008E27E1">
            <w:pPr>
              <w:jc w:val="center"/>
              <w:rPr>
                <w:rFonts w:eastAsia="Times New Roman" w:cs="Arial"/>
                <w:bCs/>
              </w:rPr>
            </w:pPr>
            <w:r>
              <w:rPr>
                <w:rFonts w:eastAsia="Times New Roman" w:cs="Arial"/>
                <w:bCs/>
              </w:rPr>
              <w:t>1530</w:t>
            </w:r>
          </w:p>
        </w:tc>
        <w:tc>
          <w:tcPr>
            <w:tcW w:w="992" w:type="dxa"/>
            <w:shd w:val="clear" w:color="auto" w:fill="auto"/>
            <w:noWrap/>
            <w:vAlign w:val="bottom"/>
            <w:hideMark/>
          </w:tcPr>
          <w:p w:rsidR="0020499E" w:rsidRDefault="008E27E1">
            <w:pPr>
              <w:jc w:val="center"/>
              <w:rPr>
                <w:rFonts w:eastAsia="Times New Roman" w:cs="Arial"/>
                <w:bCs/>
              </w:rPr>
            </w:pPr>
            <w:r>
              <w:rPr>
                <w:rFonts w:eastAsia="Times New Roman" w:cs="Arial"/>
                <w:bCs/>
              </w:rPr>
              <w:t>904</w:t>
            </w:r>
          </w:p>
        </w:tc>
        <w:tc>
          <w:tcPr>
            <w:tcW w:w="992" w:type="dxa"/>
            <w:shd w:val="clear" w:color="auto" w:fill="auto"/>
            <w:noWrap/>
            <w:vAlign w:val="bottom"/>
            <w:hideMark/>
          </w:tcPr>
          <w:p w:rsidR="0020499E" w:rsidRDefault="008E27E1">
            <w:pPr>
              <w:jc w:val="center"/>
              <w:rPr>
                <w:rFonts w:eastAsia="Times New Roman" w:cs="Arial"/>
                <w:bCs/>
              </w:rPr>
            </w:pPr>
            <w:r>
              <w:rPr>
                <w:rFonts w:eastAsia="Times New Roman" w:cs="Arial"/>
                <w:bCs/>
              </w:rPr>
              <w:t>1454</w:t>
            </w:r>
          </w:p>
        </w:tc>
        <w:tc>
          <w:tcPr>
            <w:tcW w:w="993" w:type="dxa"/>
            <w:shd w:val="clear" w:color="auto" w:fill="auto"/>
            <w:noWrap/>
            <w:vAlign w:val="bottom"/>
            <w:hideMark/>
          </w:tcPr>
          <w:p w:rsidR="0020499E" w:rsidRDefault="008E27E1">
            <w:pPr>
              <w:jc w:val="center"/>
              <w:rPr>
                <w:rFonts w:eastAsia="Times New Roman" w:cs="Arial"/>
                <w:bCs/>
              </w:rPr>
            </w:pPr>
            <w:r>
              <w:rPr>
                <w:rFonts w:eastAsia="Times New Roman" w:cs="Arial"/>
                <w:bCs/>
              </w:rPr>
              <w:t>1507</w:t>
            </w:r>
          </w:p>
        </w:tc>
      </w:tr>
      <w:tr w:rsidR="0020499E">
        <w:trPr>
          <w:trHeight w:val="312"/>
        </w:trPr>
        <w:tc>
          <w:tcPr>
            <w:tcW w:w="6238" w:type="dxa"/>
            <w:shd w:val="clear" w:color="auto" w:fill="auto"/>
            <w:vAlign w:val="center"/>
            <w:hideMark/>
          </w:tcPr>
          <w:p w:rsidR="0020499E" w:rsidRDefault="008E27E1">
            <w:pPr>
              <w:rPr>
                <w:rFonts w:eastAsia="Times New Roman"/>
              </w:rPr>
            </w:pPr>
            <w:r>
              <w:rPr>
                <w:rFonts w:eastAsia="Times New Roman"/>
              </w:rPr>
              <w:t xml:space="preserve">  of which females</w:t>
            </w:r>
          </w:p>
        </w:tc>
        <w:tc>
          <w:tcPr>
            <w:tcW w:w="992" w:type="dxa"/>
            <w:shd w:val="clear" w:color="auto" w:fill="auto"/>
            <w:noWrap/>
            <w:vAlign w:val="bottom"/>
            <w:hideMark/>
          </w:tcPr>
          <w:p w:rsidR="0020499E" w:rsidRDefault="008E27E1">
            <w:pPr>
              <w:jc w:val="center"/>
              <w:rPr>
                <w:rFonts w:eastAsia="Times New Roman" w:cs="Arial"/>
              </w:rPr>
            </w:pPr>
            <w:r>
              <w:rPr>
                <w:rFonts w:eastAsia="Times New Roman" w:cs="Arial"/>
              </w:rPr>
              <w:t>517</w:t>
            </w:r>
          </w:p>
        </w:tc>
        <w:tc>
          <w:tcPr>
            <w:tcW w:w="992" w:type="dxa"/>
            <w:shd w:val="clear" w:color="auto" w:fill="auto"/>
            <w:noWrap/>
            <w:vAlign w:val="bottom"/>
            <w:hideMark/>
          </w:tcPr>
          <w:p w:rsidR="0020499E" w:rsidRDefault="008E27E1">
            <w:pPr>
              <w:jc w:val="center"/>
              <w:rPr>
                <w:rFonts w:eastAsia="Times New Roman" w:cs="Arial"/>
              </w:rPr>
            </w:pPr>
            <w:r>
              <w:rPr>
                <w:rFonts w:eastAsia="Times New Roman" w:cs="Arial"/>
              </w:rPr>
              <w:t>280</w:t>
            </w:r>
          </w:p>
        </w:tc>
        <w:tc>
          <w:tcPr>
            <w:tcW w:w="992" w:type="dxa"/>
            <w:shd w:val="clear" w:color="auto" w:fill="auto"/>
            <w:noWrap/>
            <w:vAlign w:val="bottom"/>
            <w:hideMark/>
          </w:tcPr>
          <w:p w:rsidR="0020499E" w:rsidRDefault="008E27E1">
            <w:pPr>
              <w:jc w:val="center"/>
              <w:rPr>
                <w:rFonts w:eastAsia="Times New Roman" w:cs="Arial"/>
              </w:rPr>
            </w:pPr>
            <w:r>
              <w:rPr>
                <w:rFonts w:eastAsia="Times New Roman" w:cs="Arial"/>
              </w:rPr>
              <w:t>541</w:t>
            </w:r>
          </w:p>
        </w:tc>
        <w:tc>
          <w:tcPr>
            <w:tcW w:w="993" w:type="dxa"/>
            <w:shd w:val="clear" w:color="auto" w:fill="auto"/>
            <w:noWrap/>
            <w:vAlign w:val="bottom"/>
            <w:hideMark/>
          </w:tcPr>
          <w:p w:rsidR="0020499E" w:rsidRDefault="008E27E1">
            <w:pPr>
              <w:jc w:val="center"/>
              <w:rPr>
                <w:rFonts w:eastAsia="Times New Roman" w:cs="Arial"/>
              </w:rPr>
            </w:pPr>
            <w:r>
              <w:rPr>
                <w:rFonts w:eastAsia="Times New Roman" w:cs="Arial"/>
              </w:rPr>
              <w:t>547</w:t>
            </w:r>
          </w:p>
        </w:tc>
      </w:tr>
      <w:tr w:rsidR="0020499E">
        <w:trPr>
          <w:trHeight w:val="312"/>
        </w:trPr>
        <w:tc>
          <w:tcPr>
            <w:tcW w:w="6238" w:type="dxa"/>
            <w:shd w:val="clear" w:color="auto" w:fill="auto"/>
            <w:vAlign w:val="center"/>
            <w:hideMark/>
          </w:tcPr>
          <w:p w:rsidR="0020499E" w:rsidRDefault="008E27E1">
            <w:pPr>
              <w:rPr>
                <w:rFonts w:eastAsia="Times New Roman"/>
              </w:rPr>
            </w:pPr>
            <w:r>
              <w:rPr>
                <w:rFonts w:eastAsia="Times New Roman"/>
              </w:rPr>
              <w:t>from the total number:</w:t>
            </w:r>
          </w:p>
        </w:tc>
        <w:tc>
          <w:tcPr>
            <w:tcW w:w="992" w:type="dxa"/>
            <w:shd w:val="clear" w:color="auto" w:fill="auto"/>
            <w:noWrap/>
            <w:vAlign w:val="bottom"/>
            <w:hideMark/>
          </w:tcPr>
          <w:p w:rsidR="0020499E" w:rsidRDefault="0020499E">
            <w:pPr>
              <w:jc w:val="center"/>
              <w:rPr>
                <w:rFonts w:eastAsia="Times New Roman" w:cs="Arial"/>
              </w:rPr>
            </w:pPr>
          </w:p>
        </w:tc>
        <w:tc>
          <w:tcPr>
            <w:tcW w:w="992" w:type="dxa"/>
            <w:shd w:val="clear" w:color="auto" w:fill="auto"/>
            <w:noWrap/>
            <w:vAlign w:val="bottom"/>
            <w:hideMark/>
          </w:tcPr>
          <w:p w:rsidR="0020499E" w:rsidRDefault="0020499E">
            <w:pPr>
              <w:jc w:val="center"/>
              <w:rPr>
                <w:rFonts w:eastAsia="Times New Roman" w:cs="Arial"/>
              </w:rPr>
            </w:pPr>
          </w:p>
        </w:tc>
        <w:tc>
          <w:tcPr>
            <w:tcW w:w="992" w:type="dxa"/>
            <w:shd w:val="clear" w:color="auto" w:fill="auto"/>
            <w:noWrap/>
            <w:vAlign w:val="bottom"/>
            <w:hideMark/>
          </w:tcPr>
          <w:p w:rsidR="0020499E" w:rsidRDefault="0020499E">
            <w:pPr>
              <w:jc w:val="center"/>
              <w:rPr>
                <w:rFonts w:eastAsia="Times New Roman" w:cs="Arial"/>
              </w:rPr>
            </w:pPr>
          </w:p>
        </w:tc>
        <w:tc>
          <w:tcPr>
            <w:tcW w:w="993" w:type="dxa"/>
            <w:shd w:val="clear" w:color="auto" w:fill="auto"/>
            <w:noWrap/>
            <w:vAlign w:val="bottom"/>
            <w:hideMark/>
          </w:tcPr>
          <w:p w:rsidR="0020499E" w:rsidRDefault="0020499E">
            <w:pPr>
              <w:jc w:val="center"/>
              <w:rPr>
                <w:rFonts w:eastAsia="Times New Roman" w:cs="Arial"/>
              </w:rPr>
            </w:pPr>
          </w:p>
        </w:tc>
      </w:tr>
      <w:tr w:rsidR="0020499E">
        <w:trPr>
          <w:trHeight w:val="312"/>
        </w:trPr>
        <w:tc>
          <w:tcPr>
            <w:tcW w:w="6238" w:type="dxa"/>
            <w:shd w:val="clear" w:color="auto" w:fill="auto"/>
            <w:vAlign w:val="center"/>
            <w:hideMark/>
          </w:tcPr>
          <w:p w:rsidR="0020499E" w:rsidRDefault="008E27E1">
            <w:pPr>
              <w:rPr>
                <w:rFonts w:eastAsia="Times New Roman"/>
              </w:rPr>
            </w:pPr>
            <w:r>
              <w:rPr>
                <w:rFonts w:eastAsia="Times New Roman"/>
              </w:rPr>
              <w:t xml:space="preserve">  Professor</w:t>
            </w:r>
          </w:p>
        </w:tc>
        <w:tc>
          <w:tcPr>
            <w:tcW w:w="992" w:type="dxa"/>
            <w:shd w:val="clear" w:color="auto" w:fill="auto"/>
            <w:noWrap/>
            <w:vAlign w:val="bottom"/>
            <w:hideMark/>
          </w:tcPr>
          <w:p w:rsidR="0020499E" w:rsidRDefault="008E27E1">
            <w:pPr>
              <w:jc w:val="center"/>
              <w:rPr>
                <w:rFonts w:eastAsia="Times New Roman" w:cs="Arial"/>
              </w:rPr>
            </w:pPr>
            <w:r>
              <w:rPr>
                <w:rFonts w:eastAsia="Times New Roman" w:cs="Arial"/>
              </w:rPr>
              <w:t>870</w:t>
            </w:r>
          </w:p>
        </w:tc>
        <w:tc>
          <w:tcPr>
            <w:tcW w:w="992" w:type="dxa"/>
            <w:shd w:val="clear" w:color="auto" w:fill="auto"/>
            <w:noWrap/>
            <w:vAlign w:val="bottom"/>
            <w:hideMark/>
          </w:tcPr>
          <w:p w:rsidR="0020499E" w:rsidRDefault="008E27E1">
            <w:pPr>
              <w:jc w:val="center"/>
              <w:rPr>
                <w:rFonts w:eastAsia="Times New Roman" w:cs="Arial"/>
              </w:rPr>
            </w:pPr>
            <w:r>
              <w:rPr>
                <w:rFonts w:eastAsia="Times New Roman" w:cs="Arial"/>
              </w:rPr>
              <w:t>507</w:t>
            </w:r>
          </w:p>
        </w:tc>
        <w:tc>
          <w:tcPr>
            <w:tcW w:w="992" w:type="dxa"/>
            <w:shd w:val="clear" w:color="auto" w:fill="auto"/>
            <w:noWrap/>
            <w:vAlign w:val="bottom"/>
            <w:hideMark/>
          </w:tcPr>
          <w:p w:rsidR="0020499E" w:rsidRDefault="008E27E1">
            <w:pPr>
              <w:jc w:val="center"/>
              <w:rPr>
                <w:rFonts w:eastAsia="Times New Roman" w:cs="Arial"/>
              </w:rPr>
            </w:pPr>
            <w:r>
              <w:rPr>
                <w:rFonts w:eastAsia="Times New Roman" w:cs="Arial"/>
              </w:rPr>
              <w:t>756</w:t>
            </w:r>
          </w:p>
        </w:tc>
        <w:tc>
          <w:tcPr>
            <w:tcW w:w="993" w:type="dxa"/>
            <w:shd w:val="clear" w:color="auto" w:fill="auto"/>
            <w:noWrap/>
            <w:vAlign w:val="bottom"/>
            <w:hideMark/>
          </w:tcPr>
          <w:p w:rsidR="0020499E" w:rsidRDefault="008E27E1">
            <w:pPr>
              <w:jc w:val="center"/>
              <w:rPr>
                <w:rFonts w:eastAsia="Times New Roman" w:cs="Arial"/>
              </w:rPr>
            </w:pPr>
            <w:r>
              <w:rPr>
                <w:rFonts w:eastAsia="Times New Roman" w:cs="Arial"/>
              </w:rPr>
              <w:t>714</w:t>
            </w:r>
          </w:p>
        </w:tc>
      </w:tr>
      <w:tr w:rsidR="0020499E">
        <w:trPr>
          <w:trHeight w:val="312"/>
        </w:trPr>
        <w:tc>
          <w:tcPr>
            <w:tcW w:w="6238" w:type="dxa"/>
            <w:shd w:val="clear" w:color="auto" w:fill="auto"/>
            <w:vAlign w:val="center"/>
            <w:hideMark/>
          </w:tcPr>
          <w:p w:rsidR="0020499E" w:rsidRDefault="008E27E1">
            <w:pPr>
              <w:rPr>
                <w:rFonts w:eastAsia="Times New Roman"/>
              </w:rPr>
            </w:pPr>
            <w:r>
              <w:rPr>
                <w:rFonts w:eastAsia="Times New Roman"/>
              </w:rPr>
              <w:t xml:space="preserve">  Associate Professor</w:t>
            </w:r>
          </w:p>
        </w:tc>
        <w:tc>
          <w:tcPr>
            <w:tcW w:w="992" w:type="dxa"/>
            <w:shd w:val="clear" w:color="auto" w:fill="auto"/>
            <w:noWrap/>
            <w:vAlign w:val="bottom"/>
            <w:hideMark/>
          </w:tcPr>
          <w:p w:rsidR="0020499E" w:rsidRDefault="008E27E1">
            <w:pPr>
              <w:jc w:val="center"/>
              <w:rPr>
                <w:rFonts w:eastAsia="Times New Roman" w:cs="Arial"/>
              </w:rPr>
            </w:pPr>
            <w:r>
              <w:rPr>
                <w:rFonts w:eastAsia="Times New Roman" w:cs="Arial"/>
              </w:rPr>
              <w:t>459</w:t>
            </w:r>
          </w:p>
        </w:tc>
        <w:tc>
          <w:tcPr>
            <w:tcW w:w="992" w:type="dxa"/>
            <w:shd w:val="clear" w:color="auto" w:fill="auto"/>
            <w:noWrap/>
            <w:vAlign w:val="bottom"/>
            <w:hideMark/>
          </w:tcPr>
          <w:p w:rsidR="0020499E" w:rsidRDefault="008E27E1">
            <w:pPr>
              <w:jc w:val="center"/>
              <w:rPr>
                <w:rFonts w:eastAsia="Times New Roman" w:cs="Arial"/>
              </w:rPr>
            </w:pPr>
            <w:r>
              <w:rPr>
                <w:rFonts w:eastAsia="Times New Roman" w:cs="Arial"/>
              </w:rPr>
              <w:t>209</w:t>
            </w:r>
          </w:p>
        </w:tc>
        <w:tc>
          <w:tcPr>
            <w:tcW w:w="992" w:type="dxa"/>
            <w:shd w:val="clear" w:color="auto" w:fill="auto"/>
            <w:noWrap/>
            <w:vAlign w:val="bottom"/>
            <w:hideMark/>
          </w:tcPr>
          <w:p w:rsidR="0020499E" w:rsidRDefault="008E27E1">
            <w:pPr>
              <w:jc w:val="center"/>
              <w:rPr>
                <w:rFonts w:eastAsia="Times New Roman" w:cs="Arial"/>
              </w:rPr>
            </w:pPr>
            <w:r>
              <w:rPr>
                <w:rFonts w:eastAsia="Times New Roman" w:cs="Arial"/>
              </w:rPr>
              <w:t>422</w:t>
            </w:r>
          </w:p>
        </w:tc>
        <w:tc>
          <w:tcPr>
            <w:tcW w:w="993" w:type="dxa"/>
            <w:shd w:val="clear" w:color="auto" w:fill="auto"/>
            <w:noWrap/>
            <w:vAlign w:val="bottom"/>
            <w:hideMark/>
          </w:tcPr>
          <w:p w:rsidR="0020499E" w:rsidRDefault="008E27E1">
            <w:pPr>
              <w:jc w:val="center"/>
              <w:rPr>
                <w:rFonts w:eastAsia="Times New Roman" w:cs="Arial"/>
              </w:rPr>
            </w:pPr>
            <w:r>
              <w:rPr>
                <w:rFonts w:eastAsia="Times New Roman" w:cs="Arial"/>
              </w:rPr>
              <w:t>489</w:t>
            </w:r>
          </w:p>
        </w:tc>
      </w:tr>
      <w:tr w:rsidR="0020499E">
        <w:trPr>
          <w:trHeight w:val="312"/>
        </w:trPr>
        <w:tc>
          <w:tcPr>
            <w:tcW w:w="6238" w:type="dxa"/>
            <w:shd w:val="clear" w:color="auto" w:fill="auto"/>
            <w:hideMark/>
          </w:tcPr>
          <w:p w:rsidR="0020499E" w:rsidRDefault="008E27E1">
            <w:pPr>
              <w:rPr>
                <w:rFonts w:eastAsia="Times New Roman"/>
              </w:rPr>
            </w:pPr>
            <w:r>
              <w:rPr>
                <w:rFonts w:eastAsia="Times New Roman"/>
              </w:rPr>
              <w:t xml:space="preserve">  Others</w:t>
            </w:r>
          </w:p>
        </w:tc>
        <w:tc>
          <w:tcPr>
            <w:tcW w:w="992" w:type="dxa"/>
            <w:shd w:val="clear" w:color="auto" w:fill="auto"/>
            <w:noWrap/>
            <w:vAlign w:val="bottom"/>
            <w:hideMark/>
          </w:tcPr>
          <w:p w:rsidR="0020499E" w:rsidRDefault="008E27E1">
            <w:pPr>
              <w:jc w:val="center"/>
              <w:rPr>
                <w:rFonts w:eastAsia="Times New Roman" w:cs="Arial"/>
              </w:rPr>
            </w:pPr>
            <w:r>
              <w:rPr>
                <w:rFonts w:eastAsia="Times New Roman" w:cs="Arial"/>
              </w:rPr>
              <w:t>201</w:t>
            </w:r>
          </w:p>
        </w:tc>
        <w:tc>
          <w:tcPr>
            <w:tcW w:w="992" w:type="dxa"/>
            <w:shd w:val="clear" w:color="auto" w:fill="auto"/>
            <w:noWrap/>
            <w:vAlign w:val="bottom"/>
            <w:hideMark/>
          </w:tcPr>
          <w:p w:rsidR="0020499E" w:rsidRDefault="008E27E1">
            <w:pPr>
              <w:jc w:val="center"/>
              <w:rPr>
                <w:rFonts w:eastAsia="Times New Roman" w:cs="Arial"/>
              </w:rPr>
            </w:pPr>
            <w:r>
              <w:rPr>
                <w:rFonts w:eastAsia="Times New Roman" w:cs="Arial"/>
              </w:rPr>
              <w:t>188</w:t>
            </w:r>
          </w:p>
        </w:tc>
        <w:tc>
          <w:tcPr>
            <w:tcW w:w="992" w:type="dxa"/>
            <w:shd w:val="clear" w:color="auto" w:fill="auto"/>
            <w:noWrap/>
            <w:vAlign w:val="bottom"/>
            <w:hideMark/>
          </w:tcPr>
          <w:p w:rsidR="0020499E" w:rsidRDefault="008E27E1">
            <w:pPr>
              <w:jc w:val="center"/>
              <w:rPr>
                <w:rFonts w:eastAsia="Times New Roman" w:cs="Arial"/>
              </w:rPr>
            </w:pPr>
            <w:r>
              <w:rPr>
                <w:rFonts w:eastAsia="Times New Roman" w:cs="Arial"/>
              </w:rPr>
              <w:t>276</w:t>
            </w:r>
          </w:p>
        </w:tc>
        <w:tc>
          <w:tcPr>
            <w:tcW w:w="993" w:type="dxa"/>
            <w:shd w:val="clear" w:color="auto" w:fill="auto"/>
            <w:noWrap/>
            <w:vAlign w:val="bottom"/>
            <w:hideMark/>
          </w:tcPr>
          <w:p w:rsidR="0020499E" w:rsidRDefault="008E27E1">
            <w:pPr>
              <w:jc w:val="center"/>
              <w:rPr>
                <w:rFonts w:eastAsia="Times New Roman" w:cs="Arial"/>
              </w:rPr>
            </w:pPr>
            <w:r>
              <w:rPr>
                <w:rFonts w:eastAsia="Times New Roman" w:cs="Arial"/>
              </w:rPr>
              <w:t>304</w:t>
            </w:r>
          </w:p>
        </w:tc>
      </w:tr>
      <w:tr w:rsidR="0020499E">
        <w:trPr>
          <w:trHeight w:val="325"/>
        </w:trPr>
        <w:tc>
          <w:tcPr>
            <w:tcW w:w="6238" w:type="dxa"/>
            <w:tcBorders>
              <w:bottom w:val="single" w:sz="4" w:space="0" w:color="auto"/>
            </w:tcBorders>
            <w:shd w:val="clear" w:color="auto" w:fill="auto"/>
            <w:vAlign w:val="bottom"/>
            <w:hideMark/>
          </w:tcPr>
          <w:p w:rsidR="0020499E" w:rsidRDefault="008E27E1">
            <w:pPr>
              <w:rPr>
                <w:rFonts w:eastAsia="Times New Roman"/>
              </w:rPr>
            </w:pPr>
            <w:r>
              <w:rPr>
                <w:rFonts w:eastAsia="Times New Roman"/>
              </w:rPr>
              <w:t xml:space="preserve">Number of </w:t>
            </w:r>
            <w:r>
              <w:rPr>
                <w:rFonts w:eastAsia="Times New Roman"/>
              </w:rPr>
              <w:t>scientific heads of doctoral candidates, who have non-Georgian citizenship</w:t>
            </w:r>
          </w:p>
        </w:tc>
        <w:tc>
          <w:tcPr>
            <w:tcW w:w="992" w:type="dxa"/>
            <w:tcBorders>
              <w:bottom w:val="single" w:sz="4" w:space="0" w:color="auto"/>
            </w:tcBorders>
            <w:shd w:val="clear" w:color="auto" w:fill="auto"/>
            <w:noWrap/>
            <w:vAlign w:val="bottom"/>
            <w:hideMark/>
          </w:tcPr>
          <w:p w:rsidR="0020499E" w:rsidRDefault="008E27E1">
            <w:pPr>
              <w:jc w:val="center"/>
              <w:rPr>
                <w:rFonts w:eastAsia="Times New Roman" w:cs="Arial"/>
              </w:rPr>
            </w:pPr>
            <w:r>
              <w:rPr>
                <w:rFonts w:eastAsia="Times New Roman" w:cs="Arial"/>
              </w:rPr>
              <w:t>18</w:t>
            </w:r>
          </w:p>
        </w:tc>
        <w:tc>
          <w:tcPr>
            <w:tcW w:w="992" w:type="dxa"/>
            <w:tcBorders>
              <w:bottom w:val="single" w:sz="4" w:space="0" w:color="auto"/>
            </w:tcBorders>
            <w:shd w:val="clear" w:color="auto" w:fill="auto"/>
            <w:noWrap/>
            <w:vAlign w:val="bottom"/>
            <w:hideMark/>
          </w:tcPr>
          <w:p w:rsidR="0020499E" w:rsidRDefault="008E27E1">
            <w:pPr>
              <w:jc w:val="center"/>
              <w:rPr>
                <w:rFonts w:eastAsia="Times New Roman" w:cs="Arial"/>
              </w:rPr>
            </w:pPr>
            <w:r>
              <w:rPr>
                <w:rFonts w:eastAsia="Times New Roman" w:cs="Arial"/>
              </w:rPr>
              <w:t>6</w:t>
            </w:r>
          </w:p>
        </w:tc>
        <w:tc>
          <w:tcPr>
            <w:tcW w:w="992" w:type="dxa"/>
            <w:tcBorders>
              <w:bottom w:val="single" w:sz="4" w:space="0" w:color="auto"/>
            </w:tcBorders>
            <w:shd w:val="clear" w:color="auto" w:fill="auto"/>
            <w:noWrap/>
            <w:vAlign w:val="bottom"/>
            <w:hideMark/>
          </w:tcPr>
          <w:p w:rsidR="0020499E" w:rsidRDefault="008E27E1">
            <w:pPr>
              <w:jc w:val="center"/>
              <w:rPr>
                <w:rFonts w:eastAsia="Times New Roman" w:cs="Arial"/>
              </w:rPr>
            </w:pPr>
            <w:r>
              <w:rPr>
                <w:rFonts w:eastAsia="Times New Roman" w:cs="Arial"/>
              </w:rPr>
              <w:t>4</w:t>
            </w:r>
          </w:p>
        </w:tc>
        <w:tc>
          <w:tcPr>
            <w:tcW w:w="993" w:type="dxa"/>
            <w:tcBorders>
              <w:bottom w:val="single" w:sz="4" w:space="0" w:color="auto"/>
            </w:tcBorders>
            <w:shd w:val="clear" w:color="auto" w:fill="auto"/>
            <w:noWrap/>
            <w:vAlign w:val="bottom"/>
            <w:hideMark/>
          </w:tcPr>
          <w:p w:rsidR="0020499E" w:rsidRDefault="008E27E1">
            <w:pPr>
              <w:jc w:val="center"/>
              <w:rPr>
                <w:rFonts w:eastAsia="Times New Roman" w:cs="Arial"/>
              </w:rPr>
            </w:pPr>
            <w:r>
              <w:rPr>
                <w:rFonts w:eastAsia="Times New Roman" w:cs="Arial"/>
              </w:rPr>
              <w:t>-</w:t>
            </w:r>
          </w:p>
        </w:tc>
      </w:tr>
      <w:tr w:rsidR="0020499E">
        <w:trPr>
          <w:trHeight w:val="264"/>
        </w:trPr>
        <w:tc>
          <w:tcPr>
            <w:tcW w:w="10207" w:type="dxa"/>
            <w:gridSpan w:val="5"/>
            <w:tcBorders>
              <w:left w:val="nil"/>
              <w:bottom w:val="nil"/>
              <w:right w:val="nil"/>
            </w:tcBorders>
            <w:shd w:val="clear" w:color="auto" w:fill="auto"/>
            <w:noWrap/>
            <w:vAlign w:val="bottom"/>
            <w:hideMark/>
          </w:tcPr>
          <w:p w:rsidR="0020499E" w:rsidRDefault="008E27E1">
            <w:pPr>
              <w:rPr>
                <w:rFonts w:eastAsia="Times New Roman" w:cs="Arial"/>
              </w:rPr>
            </w:pPr>
            <w:r>
              <w:rPr>
                <w:rFonts w:eastAsia="Times New Roman"/>
              </w:rPr>
              <w:t>Source: National  Statistics Office of  Georgia</w:t>
            </w:r>
          </w:p>
        </w:tc>
      </w:tr>
    </w:tbl>
    <w:p w:rsidR="0020499E" w:rsidRDefault="0020499E"/>
    <w:p w:rsidR="0020499E" w:rsidRDefault="008E27E1">
      <w:pPr>
        <w:autoSpaceDE/>
        <w:autoSpaceDN/>
        <w:adjustRightInd/>
        <w:jc w:val="left"/>
        <w:rPr>
          <w:b/>
        </w:rPr>
      </w:pPr>
      <w:r>
        <w:rPr>
          <w:b/>
        </w:rPr>
        <w:br w:type="page"/>
      </w:r>
    </w:p>
    <w:p w:rsidR="0020499E" w:rsidRDefault="008E27E1">
      <w:pPr>
        <w:ind w:left="360"/>
        <w:rPr>
          <w:b/>
        </w:rPr>
      </w:pPr>
      <w:r>
        <w:rPr>
          <w:b/>
        </w:rPr>
        <w:lastRenderedPageBreak/>
        <w:t>f. Number of PhD students (Georgia)</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04"/>
        <w:gridCol w:w="850"/>
        <w:gridCol w:w="851"/>
        <w:gridCol w:w="850"/>
        <w:gridCol w:w="851"/>
        <w:gridCol w:w="850"/>
        <w:gridCol w:w="851"/>
      </w:tblGrid>
      <w:tr w:rsidR="0020499E">
        <w:trPr>
          <w:trHeight w:val="191"/>
        </w:trPr>
        <w:tc>
          <w:tcPr>
            <w:tcW w:w="5104" w:type="dxa"/>
            <w:tcBorders>
              <w:top w:val="nil"/>
              <w:left w:val="nil"/>
            </w:tcBorders>
            <w:shd w:val="clear" w:color="auto" w:fill="auto"/>
            <w:hideMark/>
          </w:tcPr>
          <w:p w:rsidR="0020499E" w:rsidRDefault="0020499E">
            <w:pPr>
              <w:jc w:val="center"/>
              <w:rPr>
                <w:rFonts w:eastAsia="Times New Roman" w:cs="Arial"/>
                <w:b/>
                <w:bCs/>
              </w:rPr>
            </w:pPr>
          </w:p>
        </w:tc>
        <w:tc>
          <w:tcPr>
            <w:tcW w:w="850" w:type="dxa"/>
            <w:shd w:val="clear" w:color="auto" w:fill="auto"/>
            <w:hideMark/>
          </w:tcPr>
          <w:p w:rsidR="0020499E" w:rsidRDefault="008E27E1">
            <w:pPr>
              <w:jc w:val="center"/>
              <w:rPr>
                <w:rFonts w:eastAsia="Times New Roman" w:cs="Arial"/>
                <w:b/>
              </w:rPr>
            </w:pPr>
            <w:r>
              <w:rPr>
                <w:rFonts w:eastAsia="Times New Roman" w:cs="Arial"/>
                <w:b/>
              </w:rPr>
              <w:t>2007</w:t>
            </w:r>
          </w:p>
        </w:tc>
        <w:tc>
          <w:tcPr>
            <w:tcW w:w="851" w:type="dxa"/>
            <w:shd w:val="clear" w:color="auto" w:fill="auto"/>
            <w:hideMark/>
          </w:tcPr>
          <w:p w:rsidR="0020499E" w:rsidRDefault="008E27E1">
            <w:pPr>
              <w:jc w:val="center"/>
              <w:rPr>
                <w:rFonts w:eastAsia="Times New Roman" w:cs="Arial"/>
                <w:b/>
              </w:rPr>
            </w:pPr>
            <w:r>
              <w:rPr>
                <w:rFonts w:eastAsia="Times New Roman" w:cs="Arial"/>
                <w:b/>
              </w:rPr>
              <w:t>2008</w:t>
            </w:r>
          </w:p>
        </w:tc>
        <w:tc>
          <w:tcPr>
            <w:tcW w:w="850" w:type="dxa"/>
            <w:shd w:val="clear" w:color="auto" w:fill="auto"/>
            <w:hideMark/>
          </w:tcPr>
          <w:p w:rsidR="0020499E" w:rsidRDefault="008E27E1">
            <w:pPr>
              <w:jc w:val="center"/>
              <w:rPr>
                <w:rFonts w:eastAsia="Times New Roman" w:cs="Arial"/>
                <w:b/>
              </w:rPr>
            </w:pPr>
            <w:r>
              <w:rPr>
                <w:rFonts w:eastAsia="Times New Roman" w:cs="Arial"/>
                <w:b/>
              </w:rPr>
              <w:t>2009</w:t>
            </w:r>
          </w:p>
        </w:tc>
        <w:tc>
          <w:tcPr>
            <w:tcW w:w="851" w:type="dxa"/>
            <w:shd w:val="clear" w:color="auto" w:fill="auto"/>
            <w:hideMark/>
          </w:tcPr>
          <w:p w:rsidR="0020499E" w:rsidRDefault="008E27E1">
            <w:pPr>
              <w:jc w:val="center"/>
              <w:rPr>
                <w:rFonts w:eastAsia="Times New Roman" w:cs="Arial"/>
                <w:b/>
              </w:rPr>
            </w:pPr>
            <w:r>
              <w:rPr>
                <w:rFonts w:eastAsia="Times New Roman" w:cs="Arial"/>
                <w:b/>
              </w:rPr>
              <w:t>2011</w:t>
            </w:r>
          </w:p>
        </w:tc>
        <w:tc>
          <w:tcPr>
            <w:tcW w:w="850" w:type="dxa"/>
            <w:shd w:val="clear" w:color="auto" w:fill="auto"/>
            <w:hideMark/>
          </w:tcPr>
          <w:p w:rsidR="0020499E" w:rsidRDefault="008E27E1">
            <w:pPr>
              <w:jc w:val="center"/>
              <w:rPr>
                <w:rFonts w:eastAsia="Times New Roman" w:cs="Arial"/>
                <w:b/>
              </w:rPr>
            </w:pPr>
            <w:r>
              <w:rPr>
                <w:rFonts w:eastAsia="Times New Roman" w:cs="Arial"/>
                <w:b/>
              </w:rPr>
              <w:t>2012</w:t>
            </w:r>
          </w:p>
        </w:tc>
        <w:tc>
          <w:tcPr>
            <w:tcW w:w="851" w:type="dxa"/>
            <w:shd w:val="clear" w:color="auto" w:fill="auto"/>
            <w:noWrap/>
            <w:vAlign w:val="bottom"/>
            <w:hideMark/>
          </w:tcPr>
          <w:p w:rsidR="0020499E" w:rsidRDefault="008E27E1">
            <w:pPr>
              <w:jc w:val="center"/>
              <w:rPr>
                <w:rFonts w:eastAsia="Times New Roman" w:cs="Arial"/>
                <w:b/>
              </w:rPr>
            </w:pPr>
            <w:r>
              <w:rPr>
                <w:rFonts w:eastAsia="Times New Roman" w:cs="Arial"/>
                <w:b/>
              </w:rPr>
              <w:t>2013</w:t>
            </w:r>
          </w:p>
        </w:tc>
      </w:tr>
      <w:tr w:rsidR="0020499E">
        <w:trPr>
          <w:trHeight w:val="358"/>
        </w:trPr>
        <w:tc>
          <w:tcPr>
            <w:tcW w:w="5104" w:type="dxa"/>
            <w:shd w:val="clear" w:color="auto" w:fill="auto"/>
            <w:vAlign w:val="bottom"/>
          </w:tcPr>
          <w:p w:rsidR="0020499E" w:rsidRDefault="008E27E1">
            <w:pPr>
              <w:rPr>
                <w:rFonts w:eastAsia="Times New Roman"/>
                <w:b/>
                <w:bCs/>
              </w:rPr>
            </w:pPr>
            <w:r>
              <w:rPr>
                <w:rFonts w:eastAsia="Times New Roman"/>
                <w:b/>
                <w:bCs/>
              </w:rPr>
              <w:t xml:space="preserve">Number of persons working for doctoral degree,  </w:t>
            </w:r>
            <w:r>
              <w:rPr>
                <w:rFonts w:eastAsia="Times New Roman"/>
                <w:b/>
                <w:bCs/>
              </w:rPr>
              <w:t>total</w:t>
            </w:r>
          </w:p>
        </w:tc>
        <w:tc>
          <w:tcPr>
            <w:tcW w:w="850" w:type="dxa"/>
            <w:shd w:val="clear" w:color="auto" w:fill="auto"/>
            <w:vAlign w:val="bottom"/>
          </w:tcPr>
          <w:p w:rsidR="0020499E" w:rsidRDefault="008E27E1">
            <w:pPr>
              <w:jc w:val="center"/>
              <w:rPr>
                <w:rFonts w:eastAsia="Times New Roman" w:cs="Arial"/>
                <w:b/>
                <w:bCs/>
              </w:rPr>
            </w:pPr>
            <w:r>
              <w:rPr>
                <w:rFonts w:eastAsia="Times New Roman" w:cs="Arial"/>
                <w:b/>
                <w:bCs/>
              </w:rPr>
              <w:t>786</w:t>
            </w:r>
          </w:p>
        </w:tc>
        <w:tc>
          <w:tcPr>
            <w:tcW w:w="851" w:type="dxa"/>
            <w:shd w:val="clear" w:color="auto" w:fill="auto"/>
            <w:vAlign w:val="bottom"/>
          </w:tcPr>
          <w:p w:rsidR="0020499E" w:rsidRDefault="008E27E1">
            <w:pPr>
              <w:jc w:val="center"/>
              <w:rPr>
                <w:rFonts w:eastAsia="Times New Roman" w:cs="Arial"/>
                <w:b/>
                <w:bCs/>
              </w:rPr>
            </w:pPr>
            <w:r>
              <w:rPr>
                <w:rFonts w:eastAsia="Times New Roman" w:cs="Arial"/>
                <w:b/>
                <w:bCs/>
              </w:rPr>
              <w:t>1588</w:t>
            </w:r>
          </w:p>
        </w:tc>
        <w:tc>
          <w:tcPr>
            <w:tcW w:w="850" w:type="dxa"/>
            <w:shd w:val="clear" w:color="auto" w:fill="auto"/>
            <w:vAlign w:val="bottom"/>
          </w:tcPr>
          <w:p w:rsidR="0020499E" w:rsidRDefault="008E27E1">
            <w:pPr>
              <w:jc w:val="center"/>
              <w:rPr>
                <w:rFonts w:eastAsia="Times New Roman" w:cs="Arial"/>
                <w:b/>
                <w:bCs/>
              </w:rPr>
            </w:pPr>
            <w:r>
              <w:rPr>
                <w:rFonts w:eastAsia="Times New Roman" w:cs="Arial"/>
                <w:b/>
                <w:bCs/>
              </w:rPr>
              <w:t>2986</w:t>
            </w:r>
          </w:p>
        </w:tc>
        <w:tc>
          <w:tcPr>
            <w:tcW w:w="851" w:type="dxa"/>
            <w:shd w:val="clear" w:color="auto" w:fill="auto"/>
            <w:vAlign w:val="bottom"/>
          </w:tcPr>
          <w:p w:rsidR="0020499E" w:rsidRDefault="008E27E1">
            <w:pPr>
              <w:jc w:val="center"/>
              <w:rPr>
                <w:rFonts w:eastAsia="Times New Roman" w:cs="Arial"/>
                <w:b/>
                <w:bCs/>
              </w:rPr>
            </w:pPr>
            <w:r>
              <w:rPr>
                <w:rFonts w:eastAsia="Times New Roman" w:cs="Arial"/>
                <w:b/>
                <w:bCs/>
              </w:rPr>
              <w:t>4266</w:t>
            </w:r>
          </w:p>
        </w:tc>
        <w:tc>
          <w:tcPr>
            <w:tcW w:w="850" w:type="dxa"/>
            <w:shd w:val="clear" w:color="auto" w:fill="auto"/>
            <w:vAlign w:val="bottom"/>
          </w:tcPr>
          <w:p w:rsidR="0020499E" w:rsidRDefault="008E27E1">
            <w:pPr>
              <w:jc w:val="center"/>
              <w:rPr>
                <w:rFonts w:eastAsia="Times New Roman" w:cs="Arial"/>
                <w:b/>
                <w:bCs/>
              </w:rPr>
            </w:pPr>
            <w:r>
              <w:rPr>
                <w:rFonts w:eastAsia="Times New Roman" w:cs="Arial"/>
                <w:b/>
                <w:bCs/>
              </w:rPr>
              <w:t>3040</w:t>
            </w:r>
          </w:p>
        </w:tc>
        <w:tc>
          <w:tcPr>
            <w:tcW w:w="851" w:type="dxa"/>
            <w:shd w:val="clear" w:color="auto" w:fill="auto"/>
            <w:vAlign w:val="bottom"/>
          </w:tcPr>
          <w:p w:rsidR="0020499E" w:rsidRDefault="008E27E1">
            <w:pPr>
              <w:jc w:val="center"/>
              <w:rPr>
                <w:rFonts w:eastAsia="Times New Roman" w:cs="Arial"/>
                <w:b/>
                <w:bCs/>
              </w:rPr>
            </w:pPr>
            <w:r>
              <w:rPr>
                <w:rFonts w:eastAsia="Times New Roman" w:cs="Arial"/>
                <w:b/>
                <w:bCs/>
              </w:rPr>
              <w:t>3213</w:t>
            </w:r>
          </w:p>
        </w:tc>
      </w:tr>
      <w:tr w:rsidR="0020499E">
        <w:trPr>
          <w:trHeight w:val="358"/>
        </w:trPr>
        <w:tc>
          <w:tcPr>
            <w:tcW w:w="10207" w:type="dxa"/>
            <w:gridSpan w:val="7"/>
            <w:shd w:val="clear" w:color="auto" w:fill="auto"/>
            <w:vAlign w:val="bottom"/>
            <w:hideMark/>
          </w:tcPr>
          <w:p w:rsidR="0020499E" w:rsidRDefault="008E27E1">
            <w:pPr>
              <w:jc w:val="left"/>
              <w:rPr>
                <w:rFonts w:eastAsia="Times New Roman" w:cs="Arial"/>
                <w:b/>
                <w:bCs/>
              </w:rPr>
            </w:pPr>
            <w:r>
              <w:rPr>
                <w:rFonts w:eastAsia="Times New Roman"/>
                <w:b/>
                <w:color w:val="000000"/>
              </w:rPr>
              <w:t>of which by field of science:</w:t>
            </w:r>
          </w:p>
        </w:tc>
      </w:tr>
      <w:tr w:rsidR="0020499E">
        <w:trPr>
          <w:trHeight w:val="312"/>
        </w:trPr>
        <w:tc>
          <w:tcPr>
            <w:tcW w:w="5104" w:type="dxa"/>
            <w:shd w:val="clear" w:color="auto" w:fill="auto"/>
            <w:vAlign w:val="center"/>
            <w:hideMark/>
          </w:tcPr>
          <w:p w:rsidR="0020499E" w:rsidRDefault="008E27E1">
            <w:pPr>
              <w:rPr>
                <w:rFonts w:eastAsia="Times New Roman"/>
                <w:color w:val="000000"/>
              </w:rPr>
            </w:pPr>
            <w:r>
              <w:rPr>
                <w:rFonts w:eastAsia="Times New Roman"/>
                <w:color w:val="000000"/>
              </w:rPr>
              <w:t xml:space="preserve">  Education</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30</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88</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141</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135</w:t>
            </w:r>
          </w:p>
        </w:tc>
        <w:tc>
          <w:tcPr>
            <w:tcW w:w="850" w:type="dxa"/>
            <w:shd w:val="clear" w:color="auto" w:fill="auto"/>
            <w:noWrap/>
            <w:vAlign w:val="bottom"/>
            <w:hideMark/>
          </w:tcPr>
          <w:p w:rsidR="0020499E" w:rsidRDefault="008E27E1">
            <w:pPr>
              <w:jc w:val="center"/>
              <w:rPr>
                <w:rFonts w:eastAsia="Times New Roman" w:cs="Arial"/>
              </w:rPr>
            </w:pPr>
            <w:r>
              <w:rPr>
                <w:rFonts w:eastAsia="Times New Roman" w:cs="Arial"/>
              </w:rPr>
              <w:t>235</w:t>
            </w:r>
          </w:p>
        </w:tc>
        <w:tc>
          <w:tcPr>
            <w:tcW w:w="851" w:type="dxa"/>
            <w:shd w:val="clear" w:color="auto" w:fill="auto"/>
            <w:noWrap/>
            <w:vAlign w:val="bottom"/>
            <w:hideMark/>
          </w:tcPr>
          <w:p w:rsidR="0020499E" w:rsidRDefault="008E27E1">
            <w:pPr>
              <w:jc w:val="center"/>
              <w:rPr>
                <w:rFonts w:eastAsia="Times New Roman" w:cs="Arial"/>
              </w:rPr>
            </w:pPr>
            <w:r>
              <w:rPr>
                <w:rFonts w:eastAsia="Times New Roman" w:cs="Arial"/>
              </w:rPr>
              <w:t>164</w:t>
            </w:r>
          </w:p>
        </w:tc>
      </w:tr>
      <w:tr w:rsidR="0020499E">
        <w:trPr>
          <w:trHeight w:val="312"/>
        </w:trPr>
        <w:tc>
          <w:tcPr>
            <w:tcW w:w="5104" w:type="dxa"/>
            <w:shd w:val="clear" w:color="auto" w:fill="auto"/>
            <w:vAlign w:val="center"/>
            <w:hideMark/>
          </w:tcPr>
          <w:p w:rsidR="0020499E" w:rsidRDefault="008E27E1">
            <w:pPr>
              <w:rPr>
                <w:rFonts w:eastAsia="Times New Roman"/>
                <w:color w:val="000000"/>
              </w:rPr>
            </w:pPr>
            <w:r>
              <w:rPr>
                <w:rFonts w:eastAsia="Times New Roman"/>
                <w:color w:val="000000"/>
              </w:rPr>
              <w:t xml:space="preserve">  Humanities and Arts</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176</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340</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628</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756</w:t>
            </w:r>
          </w:p>
        </w:tc>
        <w:tc>
          <w:tcPr>
            <w:tcW w:w="850" w:type="dxa"/>
            <w:shd w:val="clear" w:color="auto" w:fill="auto"/>
            <w:noWrap/>
            <w:vAlign w:val="bottom"/>
            <w:hideMark/>
          </w:tcPr>
          <w:p w:rsidR="0020499E" w:rsidRDefault="008E27E1">
            <w:pPr>
              <w:jc w:val="center"/>
              <w:rPr>
                <w:rFonts w:eastAsia="Times New Roman" w:cs="Arial"/>
              </w:rPr>
            </w:pPr>
            <w:r>
              <w:rPr>
                <w:rFonts w:eastAsia="Times New Roman" w:cs="Arial"/>
              </w:rPr>
              <w:t>634</w:t>
            </w:r>
          </w:p>
        </w:tc>
        <w:tc>
          <w:tcPr>
            <w:tcW w:w="851" w:type="dxa"/>
            <w:shd w:val="clear" w:color="auto" w:fill="auto"/>
            <w:noWrap/>
            <w:vAlign w:val="bottom"/>
            <w:hideMark/>
          </w:tcPr>
          <w:p w:rsidR="0020499E" w:rsidRDefault="008E27E1">
            <w:pPr>
              <w:jc w:val="center"/>
              <w:rPr>
                <w:rFonts w:eastAsia="Times New Roman" w:cs="Arial"/>
              </w:rPr>
            </w:pPr>
            <w:r>
              <w:rPr>
                <w:rFonts w:eastAsia="Times New Roman" w:cs="Arial"/>
              </w:rPr>
              <w:t>570</w:t>
            </w:r>
          </w:p>
        </w:tc>
      </w:tr>
      <w:tr w:rsidR="0020499E">
        <w:trPr>
          <w:trHeight w:val="312"/>
        </w:trPr>
        <w:tc>
          <w:tcPr>
            <w:tcW w:w="5104" w:type="dxa"/>
            <w:shd w:val="clear" w:color="auto" w:fill="auto"/>
            <w:vAlign w:val="center"/>
            <w:hideMark/>
          </w:tcPr>
          <w:p w:rsidR="0020499E" w:rsidRDefault="008E27E1">
            <w:pPr>
              <w:rPr>
                <w:rFonts w:eastAsia="Times New Roman"/>
                <w:color w:val="000000"/>
              </w:rPr>
            </w:pPr>
            <w:r>
              <w:rPr>
                <w:rFonts w:eastAsia="Times New Roman"/>
                <w:color w:val="000000"/>
              </w:rPr>
              <w:t xml:space="preserve">  Social sciences, business and law</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480</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709</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1046</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2096</w:t>
            </w:r>
          </w:p>
        </w:tc>
        <w:tc>
          <w:tcPr>
            <w:tcW w:w="850" w:type="dxa"/>
            <w:shd w:val="clear" w:color="auto" w:fill="auto"/>
            <w:noWrap/>
            <w:vAlign w:val="bottom"/>
            <w:hideMark/>
          </w:tcPr>
          <w:p w:rsidR="0020499E" w:rsidRDefault="008E27E1">
            <w:pPr>
              <w:jc w:val="center"/>
              <w:rPr>
                <w:rFonts w:eastAsia="Times New Roman" w:cs="Arial"/>
              </w:rPr>
            </w:pPr>
            <w:r>
              <w:rPr>
                <w:rFonts w:eastAsia="Times New Roman" w:cs="Arial"/>
              </w:rPr>
              <w:t>919</w:t>
            </w:r>
          </w:p>
        </w:tc>
        <w:tc>
          <w:tcPr>
            <w:tcW w:w="851" w:type="dxa"/>
            <w:shd w:val="clear" w:color="auto" w:fill="auto"/>
            <w:noWrap/>
            <w:vAlign w:val="bottom"/>
            <w:hideMark/>
          </w:tcPr>
          <w:p w:rsidR="0020499E" w:rsidRDefault="008E27E1">
            <w:pPr>
              <w:jc w:val="center"/>
              <w:rPr>
                <w:rFonts w:eastAsia="Times New Roman" w:cs="Arial"/>
              </w:rPr>
            </w:pPr>
            <w:r>
              <w:rPr>
                <w:rFonts w:eastAsia="Times New Roman" w:cs="Arial"/>
              </w:rPr>
              <w:t>1304</w:t>
            </w:r>
          </w:p>
        </w:tc>
      </w:tr>
      <w:tr w:rsidR="0020499E">
        <w:trPr>
          <w:trHeight w:val="312"/>
        </w:trPr>
        <w:tc>
          <w:tcPr>
            <w:tcW w:w="5104" w:type="dxa"/>
            <w:shd w:val="clear" w:color="auto" w:fill="auto"/>
            <w:vAlign w:val="center"/>
            <w:hideMark/>
          </w:tcPr>
          <w:p w:rsidR="0020499E" w:rsidRDefault="008E27E1">
            <w:pPr>
              <w:rPr>
                <w:rFonts w:eastAsia="Times New Roman"/>
                <w:color w:val="000000"/>
              </w:rPr>
            </w:pPr>
            <w:r>
              <w:rPr>
                <w:rFonts w:eastAsia="Times New Roman"/>
                <w:color w:val="000000"/>
              </w:rPr>
              <w:t xml:space="preserve">  Science</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12</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195</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343</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564</w:t>
            </w:r>
          </w:p>
        </w:tc>
        <w:tc>
          <w:tcPr>
            <w:tcW w:w="850" w:type="dxa"/>
            <w:shd w:val="clear" w:color="auto" w:fill="auto"/>
            <w:noWrap/>
            <w:vAlign w:val="bottom"/>
            <w:hideMark/>
          </w:tcPr>
          <w:p w:rsidR="0020499E" w:rsidRDefault="008E27E1">
            <w:pPr>
              <w:jc w:val="center"/>
              <w:rPr>
                <w:rFonts w:eastAsia="Times New Roman" w:cs="Arial"/>
              </w:rPr>
            </w:pPr>
            <w:r>
              <w:rPr>
                <w:rFonts w:eastAsia="Times New Roman" w:cs="Arial"/>
              </w:rPr>
              <w:t>607</w:t>
            </w:r>
          </w:p>
        </w:tc>
        <w:tc>
          <w:tcPr>
            <w:tcW w:w="851" w:type="dxa"/>
            <w:shd w:val="clear" w:color="auto" w:fill="auto"/>
            <w:noWrap/>
            <w:vAlign w:val="bottom"/>
            <w:hideMark/>
          </w:tcPr>
          <w:p w:rsidR="0020499E" w:rsidRDefault="008E27E1">
            <w:pPr>
              <w:jc w:val="center"/>
              <w:rPr>
                <w:rFonts w:eastAsia="Times New Roman" w:cs="Arial"/>
              </w:rPr>
            </w:pPr>
            <w:r>
              <w:rPr>
                <w:rFonts w:eastAsia="Times New Roman" w:cs="Arial"/>
              </w:rPr>
              <w:t>508</w:t>
            </w:r>
          </w:p>
        </w:tc>
      </w:tr>
      <w:tr w:rsidR="0020499E">
        <w:trPr>
          <w:trHeight w:val="312"/>
        </w:trPr>
        <w:tc>
          <w:tcPr>
            <w:tcW w:w="5104" w:type="dxa"/>
            <w:shd w:val="clear" w:color="auto" w:fill="auto"/>
            <w:vAlign w:val="center"/>
            <w:hideMark/>
          </w:tcPr>
          <w:p w:rsidR="0020499E" w:rsidRDefault="008E27E1">
            <w:pPr>
              <w:rPr>
                <w:rFonts w:eastAsia="Times New Roman"/>
                <w:color w:val="000000"/>
              </w:rPr>
            </w:pPr>
            <w:r>
              <w:rPr>
                <w:rFonts w:eastAsia="Times New Roman"/>
                <w:color w:val="000000"/>
              </w:rPr>
              <w:t xml:space="preserve">  Engineering, manufacturing and construction</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62</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107</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373</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385</w:t>
            </w:r>
          </w:p>
        </w:tc>
        <w:tc>
          <w:tcPr>
            <w:tcW w:w="850" w:type="dxa"/>
            <w:shd w:val="clear" w:color="auto" w:fill="auto"/>
            <w:noWrap/>
            <w:vAlign w:val="bottom"/>
            <w:hideMark/>
          </w:tcPr>
          <w:p w:rsidR="0020499E" w:rsidRDefault="008E27E1">
            <w:pPr>
              <w:jc w:val="center"/>
              <w:rPr>
                <w:rFonts w:eastAsia="Times New Roman" w:cs="Arial"/>
              </w:rPr>
            </w:pPr>
            <w:r>
              <w:rPr>
                <w:rFonts w:eastAsia="Times New Roman" w:cs="Arial"/>
              </w:rPr>
              <w:t>344</w:t>
            </w:r>
          </w:p>
        </w:tc>
        <w:tc>
          <w:tcPr>
            <w:tcW w:w="851" w:type="dxa"/>
            <w:shd w:val="clear" w:color="auto" w:fill="auto"/>
            <w:noWrap/>
            <w:vAlign w:val="bottom"/>
            <w:hideMark/>
          </w:tcPr>
          <w:p w:rsidR="0020499E" w:rsidRDefault="008E27E1">
            <w:pPr>
              <w:jc w:val="center"/>
              <w:rPr>
                <w:rFonts w:eastAsia="Times New Roman" w:cs="Arial"/>
              </w:rPr>
            </w:pPr>
            <w:r>
              <w:rPr>
                <w:rFonts w:eastAsia="Times New Roman" w:cs="Arial"/>
              </w:rPr>
              <w:t>338</w:t>
            </w:r>
          </w:p>
        </w:tc>
      </w:tr>
      <w:tr w:rsidR="0020499E">
        <w:trPr>
          <w:trHeight w:val="312"/>
        </w:trPr>
        <w:tc>
          <w:tcPr>
            <w:tcW w:w="5104" w:type="dxa"/>
            <w:shd w:val="clear" w:color="auto" w:fill="auto"/>
            <w:vAlign w:val="center"/>
            <w:hideMark/>
          </w:tcPr>
          <w:p w:rsidR="0020499E" w:rsidRDefault="008E27E1">
            <w:pPr>
              <w:rPr>
                <w:rFonts w:eastAsia="Times New Roman"/>
                <w:color w:val="000000"/>
              </w:rPr>
            </w:pPr>
            <w:r>
              <w:rPr>
                <w:rFonts w:eastAsia="Times New Roman"/>
                <w:color w:val="000000"/>
              </w:rPr>
              <w:t xml:space="preserve">  Agriculture </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22</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69</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192</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65</w:t>
            </w:r>
          </w:p>
        </w:tc>
        <w:tc>
          <w:tcPr>
            <w:tcW w:w="850" w:type="dxa"/>
            <w:shd w:val="clear" w:color="auto" w:fill="auto"/>
            <w:noWrap/>
            <w:vAlign w:val="bottom"/>
            <w:hideMark/>
          </w:tcPr>
          <w:p w:rsidR="0020499E" w:rsidRDefault="008E27E1">
            <w:pPr>
              <w:jc w:val="center"/>
              <w:rPr>
                <w:rFonts w:eastAsia="Times New Roman" w:cs="Arial"/>
              </w:rPr>
            </w:pPr>
            <w:r>
              <w:rPr>
                <w:rFonts w:eastAsia="Times New Roman" w:cs="Arial"/>
              </w:rPr>
              <w:t>5</w:t>
            </w:r>
          </w:p>
        </w:tc>
        <w:tc>
          <w:tcPr>
            <w:tcW w:w="851" w:type="dxa"/>
            <w:shd w:val="clear" w:color="auto" w:fill="auto"/>
            <w:noWrap/>
            <w:vAlign w:val="bottom"/>
            <w:hideMark/>
          </w:tcPr>
          <w:p w:rsidR="0020499E" w:rsidRDefault="008E27E1">
            <w:pPr>
              <w:jc w:val="center"/>
              <w:rPr>
                <w:rFonts w:eastAsia="Times New Roman" w:cs="Arial"/>
              </w:rPr>
            </w:pPr>
            <w:r>
              <w:rPr>
                <w:rFonts w:eastAsia="Times New Roman" w:cs="Arial"/>
              </w:rPr>
              <w:t>15</w:t>
            </w:r>
          </w:p>
        </w:tc>
      </w:tr>
      <w:tr w:rsidR="0020499E">
        <w:trPr>
          <w:trHeight w:val="312"/>
        </w:trPr>
        <w:tc>
          <w:tcPr>
            <w:tcW w:w="5104" w:type="dxa"/>
            <w:shd w:val="clear" w:color="auto" w:fill="auto"/>
            <w:vAlign w:val="center"/>
            <w:hideMark/>
          </w:tcPr>
          <w:p w:rsidR="0020499E" w:rsidRDefault="008E27E1">
            <w:pPr>
              <w:rPr>
                <w:rFonts w:eastAsia="Times New Roman"/>
                <w:color w:val="000000"/>
              </w:rPr>
            </w:pPr>
            <w:r>
              <w:rPr>
                <w:rFonts w:eastAsia="Times New Roman"/>
                <w:color w:val="000000"/>
              </w:rPr>
              <w:t xml:space="preserve">  Health and welfare</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4</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74</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195</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168</w:t>
            </w:r>
          </w:p>
        </w:tc>
        <w:tc>
          <w:tcPr>
            <w:tcW w:w="850" w:type="dxa"/>
            <w:shd w:val="clear" w:color="auto" w:fill="auto"/>
            <w:noWrap/>
            <w:vAlign w:val="bottom"/>
            <w:hideMark/>
          </w:tcPr>
          <w:p w:rsidR="0020499E" w:rsidRDefault="008E27E1">
            <w:pPr>
              <w:jc w:val="center"/>
              <w:rPr>
                <w:rFonts w:eastAsia="Times New Roman" w:cs="Arial"/>
              </w:rPr>
            </w:pPr>
            <w:r>
              <w:rPr>
                <w:rFonts w:eastAsia="Times New Roman" w:cs="Arial"/>
              </w:rPr>
              <w:t>212</w:t>
            </w:r>
          </w:p>
        </w:tc>
        <w:tc>
          <w:tcPr>
            <w:tcW w:w="851" w:type="dxa"/>
            <w:shd w:val="clear" w:color="auto" w:fill="auto"/>
            <w:noWrap/>
            <w:vAlign w:val="bottom"/>
            <w:hideMark/>
          </w:tcPr>
          <w:p w:rsidR="0020499E" w:rsidRDefault="008E27E1">
            <w:pPr>
              <w:jc w:val="center"/>
              <w:rPr>
                <w:rFonts w:eastAsia="Times New Roman" w:cs="Arial"/>
              </w:rPr>
            </w:pPr>
            <w:r>
              <w:rPr>
                <w:rFonts w:eastAsia="Times New Roman" w:cs="Arial"/>
              </w:rPr>
              <w:t>255</w:t>
            </w:r>
          </w:p>
        </w:tc>
      </w:tr>
      <w:tr w:rsidR="0020499E">
        <w:trPr>
          <w:trHeight w:val="312"/>
        </w:trPr>
        <w:tc>
          <w:tcPr>
            <w:tcW w:w="5104" w:type="dxa"/>
            <w:shd w:val="clear" w:color="auto" w:fill="auto"/>
            <w:vAlign w:val="center"/>
            <w:hideMark/>
          </w:tcPr>
          <w:p w:rsidR="0020499E" w:rsidRDefault="008E27E1">
            <w:pPr>
              <w:rPr>
                <w:rFonts w:eastAsia="Times New Roman"/>
                <w:color w:val="000000"/>
              </w:rPr>
            </w:pPr>
            <w:r>
              <w:rPr>
                <w:rFonts w:eastAsia="Times New Roman"/>
                <w:color w:val="000000"/>
              </w:rPr>
              <w:t xml:space="preserve">  Services</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6</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68</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97</w:t>
            </w:r>
          </w:p>
        </w:tc>
        <w:tc>
          <w:tcPr>
            <w:tcW w:w="850" w:type="dxa"/>
            <w:shd w:val="clear" w:color="auto" w:fill="auto"/>
            <w:noWrap/>
            <w:vAlign w:val="bottom"/>
            <w:hideMark/>
          </w:tcPr>
          <w:p w:rsidR="0020499E" w:rsidRDefault="008E27E1">
            <w:pPr>
              <w:jc w:val="center"/>
              <w:rPr>
                <w:rFonts w:eastAsia="Times New Roman" w:cs="Arial"/>
              </w:rPr>
            </w:pPr>
            <w:r>
              <w:rPr>
                <w:rFonts w:eastAsia="Times New Roman" w:cs="Arial"/>
              </w:rPr>
              <w:t>84</w:t>
            </w:r>
          </w:p>
        </w:tc>
        <w:tc>
          <w:tcPr>
            <w:tcW w:w="851" w:type="dxa"/>
            <w:shd w:val="clear" w:color="auto" w:fill="auto"/>
            <w:noWrap/>
            <w:vAlign w:val="bottom"/>
            <w:hideMark/>
          </w:tcPr>
          <w:p w:rsidR="0020499E" w:rsidRDefault="008E27E1">
            <w:pPr>
              <w:jc w:val="center"/>
              <w:rPr>
                <w:rFonts w:eastAsia="Times New Roman" w:cs="Arial"/>
              </w:rPr>
            </w:pPr>
            <w:r>
              <w:rPr>
                <w:rFonts w:eastAsia="Times New Roman" w:cs="Arial"/>
              </w:rPr>
              <w:t>59</w:t>
            </w:r>
          </w:p>
        </w:tc>
      </w:tr>
      <w:tr w:rsidR="0020499E">
        <w:trPr>
          <w:trHeight w:val="312"/>
        </w:trPr>
        <w:tc>
          <w:tcPr>
            <w:tcW w:w="5104" w:type="dxa"/>
            <w:shd w:val="clear" w:color="auto" w:fill="auto"/>
            <w:vAlign w:val="center"/>
            <w:hideMark/>
          </w:tcPr>
          <w:p w:rsidR="0020499E" w:rsidRDefault="008E27E1">
            <w:pPr>
              <w:rPr>
                <w:rFonts w:eastAsia="Times New Roman"/>
                <w:b/>
                <w:bCs/>
                <w:color w:val="000000"/>
              </w:rPr>
            </w:pPr>
            <w:r>
              <w:rPr>
                <w:rFonts w:eastAsia="Times New Roman"/>
                <w:b/>
                <w:bCs/>
                <w:color w:val="000000"/>
              </w:rPr>
              <w:t>of which females,  total:</w:t>
            </w:r>
          </w:p>
        </w:tc>
        <w:tc>
          <w:tcPr>
            <w:tcW w:w="850" w:type="dxa"/>
            <w:shd w:val="clear" w:color="auto" w:fill="auto"/>
            <w:vAlign w:val="bottom"/>
            <w:hideMark/>
          </w:tcPr>
          <w:p w:rsidR="0020499E" w:rsidRDefault="008E27E1">
            <w:pPr>
              <w:jc w:val="center"/>
              <w:rPr>
                <w:rFonts w:eastAsia="Times New Roman" w:cs="Arial"/>
                <w:bCs/>
              </w:rPr>
            </w:pPr>
            <w:r>
              <w:rPr>
                <w:rFonts w:eastAsia="Times New Roman" w:cs="Arial"/>
                <w:bCs/>
              </w:rPr>
              <w:t>471</w:t>
            </w:r>
          </w:p>
        </w:tc>
        <w:tc>
          <w:tcPr>
            <w:tcW w:w="851" w:type="dxa"/>
            <w:shd w:val="clear" w:color="auto" w:fill="auto"/>
            <w:vAlign w:val="bottom"/>
            <w:hideMark/>
          </w:tcPr>
          <w:p w:rsidR="0020499E" w:rsidRDefault="008E27E1">
            <w:pPr>
              <w:jc w:val="center"/>
              <w:rPr>
                <w:rFonts w:eastAsia="Times New Roman" w:cs="Arial"/>
                <w:bCs/>
              </w:rPr>
            </w:pPr>
            <w:r>
              <w:rPr>
                <w:rFonts w:eastAsia="Times New Roman" w:cs="Arial"/>
                <w:bCs/>
              </w:rPr>
              <w:t>971</w:t>
            </w:r>
          </w:p>
        </w:tc>
        <w:tc>
          <w:tcPr>
            <w:tcW w:w="850" w:type="dxa"/>
            <w:shd w:val="clear" w:color="auto" w:fill="auto"/>
            <w:vAlign w:val="bottom"/>
            <w:hideMark/>
          </w:tcPr>
          <w:p w:rsidR="0020499E" w:rsidRDefault="008E27E1">
            <w:pPr>
              <w:jc w:val="center"/>
              <w:rPr>
                <w:rFonts w:eastAsia="Times New Roman" w:cs="Arial"/>
                <w:bCs/>
              </w:rPr>
            </w:pPr>
            <w:r>
              <w:rPr>
                <w:rFonts w:eastAsia="Times New Roman" w:cs="Arial"/>
                <w:bCs/>
              </w:rPr>
              <w:t>1787</w:t>
            </w:r>
          </w:p>
        </w:tc>
        <w:tc>
          <w:tcPr>
            <w:tcW w:w="851" w:type="dxa"/>
            <w:shd w:val="clear" w:color="auto" w:fill="auto"/>
            <w:vAlign w:val="bottom"/>
            <w:hideMark/>
          </w:tcPr>
          <w:p w:rsidR="0020499E" w:rsidRDefault="008E27E1">
            <w:pPr>
              <w:jc w:val="center"/>
              <w:rPr>
                <w:rFonts w:eastAsia="Times New Roman" w:cs="Arial"/>
                <w:bCs/>
              </w:rPr>
            </w:pPr>
            <w:r>
              <w:rPr>
                <w:rFonts w:eastAsia="Times New Roman" w:cs="Arial"/>
                <w:bCs/>
              </w:rPr>
              <w:t>2494</w:t>
            </w:r>
          </w:p>
        </w:tc>
        <w:tc>
          <w:tcPr>
            <w:tcW w:w="850" w:type="dxa"/>
            <w:shd w:val="clear" w:color="auto" w:fill="auto"/>
            <w:vAlign w:val="bottom"/>
            <w:hideMark/>
          </w:tcPr>
          <w:p w:rsidR="0020499E" w:rsidRDefault="008E27E1">
            <w:pPr>
              <w:jc w:val="center"/>
              <w:rPr>
                <w:rFonts w:eastAsia="Times New Roman" w:cs="Arial"/>
                <w:bCs/>
              </w:rPr>
            </w:pPr>
            <w:r>
              <w:rPr>
                <w:rFonts w:eastAsia="Times New Roman" w:cs="Arial"/>
                <w:bCs/>
              </w:rPr>
              <w:t>1673</w:t>
            </w:r>
          </w:p>
        </w:tc>
        <w:tc>
          <w:tcPr>
            <w:tcW w:w="851" w:type="dxa"/>
            <w:shd w:val="clear" w:color="auto" w:fill="auto"/>
            <w:vAlign w:val="bottom"/>
            <w:hideMark/>
          </w:tcPr>
          <w:p w:rsidR="0020499E" w:rsidRDefault="008E27E1">
            <w:pPr>
              <w:jc w:val="center"/>
              <w:rPr>
                <w:rFonts w:eastAsia="Times New Roman" w:cs="Arial"/>
                <w:bCs/>
              </w:rPr>
            </w:pPr>
            <w:r>
              <w:rPr>
                <w:rFonts w:eastAsia="Times New Roman" w:cs="Arial"/>
                <w:bCs/>
              </w:rPr>
              <w:t>1784</w:t>
            </w:r>
          </w:p>
        </w:tc>
      </w:tr>
      <w:tr w:rsidR="0020499E">
        <w:trPr>
          <w:trHeight w:val="312"/>
        </w:trPr>
        <w:tc>
          <w:tcPr>
            <w:tcW w:w="10207" w:type="dxa"/>
            <w:gridSpan w:val="7"/>
            <w:shd w:val="clear" w:color="auto" w:fill="auto"/>
            <w:vAlign w:val="center"/>
            <w:hideMark/>
          </w:tcPr>
          <w:p w:rsidR="0020499E" w:rsidRDefault="008E27E1">
            <w:pPr>
              <w:rPr>
                <w:rFonts w:eastAsia="Times New Roman" w:cs="Arial"/>
                <w:b/>
              </w:rPr>
            </w:pPr>
            <w:r>
              <w:rPr>
                <w:rFonts w:eastAsia="Times New Roman"/>
                <w:b/>
                <w:color w:val="000000"/>
              </w:rPr>
              <w:t xml:space="preserve">  of which by field of science:   </w:t>
            </w:r>
          </w:p>
        </w:tc>
      </w:tr>
      <w:tr w:rsidR="0020499E">
        <w:trPr>
          <w:trHeight w:val="312"/>
        </w:trPr>
        <w:tc>
          <w:tcPr>
            <w:tcW w:w="5104" w:type="dxa"/>
            <w:shd w:val="clear" w:color="auto" w:fill="auto"/>
            <w:vAlign w:val="center"/>
            <w:hideMark/>
          </w:tcPr>
          <w:p w:rsidR="0020499E" w:rsidRDefault="008E27E1">
            <w:pPr>
              <w:rPr>
                <w:rFonts w:eastAsia="Times New Roman"/>
                <w:color w:val="000000"/>
              </w:rPr>
            </w:pPr>
            <w:r>
              <w:rPr>
                <w:rFonts w:eastAsia="Times New Roman"/>
                <w:color w:val="000000"/>
              </w:rPr>
              <w:t xml:space="preserve">  Education</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26</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69</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107</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106</w:t>
            </w:r>
          </w:p>
        </w:tc>
        <w:tc>
          <w:tcPr>
            <w:tcW w:w="850" w:type="dxa"/>
            <w:shd w:val="clear" w:color="auto" w:fill="auto"/>
            <w:noWrap/>
            <w:vAlign w:val="bottom"/>
            <w:hideMark/>
          </w:tcPr>
          <w:p w:rsidR="0020499E" w:rsidRDefault="008E27E1">
            <w:pPr>
              <w:jc w:val="center"/>
              <w:rPr>
                <w:rFonts w:eastAsia="Times New Roman" w:cs="Arial"/>
              </w:rPr>
            </w:pPr>
            <w:r>
              <w:rPr>
                <w:rFonts w:eastAsia="Times New Roman" w:cs="Arial"/>
              </w:rPr>
              <w:t>152</w:t>
            </w:r>
          </w:p>
        </w:tc>
        <w:tc>
          <w:tcPr>
            <w:tcW w:w="851" w:type="dxa"/>
            <w:shd w:val="clear" w:color="auto" w:fill="auto"/>
            <w:noWrap/>
            <w:vAlign w:val="bottom"/>
            <w:hideMark/>
          </w:tcPr>
          <w:p w:rsidR="0020499E" w:rsidRDefault="008E27E1">
            <w:pPr>
              <w:jc w:val="center"/>
              <w:rPr>
                <w:rFonts w:eastAsia="Times New Roman" w:cs="Arial"/>
              </w:rPr>
            </w:pPr>
            <w:r>
              <w:rPr>
                <w:rFonts w:eastAsia="Times New Roman" w:cs="Arial"/>
              </w:rPr>
              <w:t>95</w:t>
            </w:r>
          </w:p>
        </w:tc>
      </w:tr>
      <w:tr w:rsidR="0020499E">
        <w:trPr>
          <w:trHeight w:val="312"/>
        </w:trPr>
        <w:tc>
          <w:tcPr>
            <w:tcW w:w="5104" w:type="dxa"/>
            <w:shd w:val="clear" w:color="auto" w:fill="auto"/>
            <w:vAlign w:val="center"/>
            <w:hideMark/>
          </w:tcPr>
          <w:p w:rsidR="0020499E" w:rsidRDefault="008E27E1">
            <w:pPr>
              <w:rPr>
                <w:rFonts w:eastAsia="Times New Roman"/>
                <w:color w:val="000000"/>
              </w:rPr>
            </w:pPr>
            <w:r>
              <w:rPr>
                <w:rFonts w:eastAsia="Times New Roman"/>
                <w:color w:val="000000"/>
              </w:rPr>
              <w:t xml:space="preserve">  Humanities and Arts</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141</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275</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493</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585</w:t>
            </w:r>
          </w:p>
        </w:tc>
        <w:tc>
          <w:tcPr>
            <w:tcW w:w="850" w:type="dxa"/>
            <w:shd w:val="clear" w:color="auto" w:fill="auto"/>
            <w:noWrap/>
            <w:vAlign w:val="bottom"/>
            <w:hideMark/>
          </w:tcPr>
          <w:p w:rsidR="0020499E" w:rsidRDefault="008E27E1">
            <w:pPr>
              <w:jc w:val="center"/>
              <w:rPr>
                <w:rFonts w:eastAsia="Times New Roman" w:cs="Arial"/>
              </w:rPr>
            </w:pPr>
            <w:r>
              <w:rPr>
                <w:rFonts w:eastAsia="Times New Roman" w:cs="Arial"/>
              </w:rPr>
              <w:t>426</w:t>
            </w:r>
          </w:p>
        </w:tc>
        <w:tc>
          <w:tcPr>
            <w:tcW w:w="851" w:type="dxa"/>
            <w:shd w:val="clear" w:color="auto" w:fill="auto"/>
            <w:noWrap/>
            <w:vAlign w:val="bottom"/>
            <w:hideMark/>
          </w:tcPr>
          <w:p w:rsidR="0020499E" w:rsidRDefault="008E27E1">
            <w:pPr>
              <w:jc w:val="center"/>
              <w:rPr>
                <w:rFonts w:eastAsia="Times New Roman" w:cs="Arial"/>
              </w:rPr>
            </w:pPr>
            <w:r>
              <w:rPr>
                <w:rFonts w:eastAsia="Times New Roman" w:cs="Arial"/>
              </w:rPr>
              <w:t>397</w:t>
            </w:r>
          </w:p>
        </w:tc>
      </w:tr>
      <w:tr w:rsidR="0020499E">
        <w:trPr>
          <w:trHeight w:val="312"/>
        </w:trPr>
        <w:tc>
          <w:tcPr>
            <w:tcW w:w="5104" w:type="dxa"/>
            <w:shd w:val="clear" w:color="auto" w:fill="auto"/>
            <w:vAlign w:val="center"/>
            <w:hideMark/>
          </w:tcPr>
          <w:p w:rsidR="0020499E" w:rsidRDefault="008E27E1">
            <w:pPr>
              <w:rPr>
                <w:rFonts w:eastAsia="Times New Roman"/>
                <w:color w:val="000000"/>
              </w:rPr>
            </w:pPr>
            <w:r>
              <w:rPr>
                <w:rFonts w:eastAsia="Times New Roman"/>
                <w:color w:val="000000"/>
              </w:rPr>
              <w:t xml:space="preserve">  Social sciences, business and law</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251</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385</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574</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1124</w:t>
            </w:r>
          </w:p>
        </w:tc>
        <w:tc>
          <w:tcPr>
            <w:tcW w:w="850" w:type="dxa"/>
            <w:shd w:val="clear" w:color="auto" w:fill="auto"/>
            <w:noWrap/>
            <w:vAlign w:val="bottom"/>
            <w:hideMark/>
          </w:tcPr>
          <w:p w:rsidR="0020499E" w:rsidRDefault="008E27E1">
            <w:pPr>
              <w:jc w:val="center"/>
              <w:rPr>
                <w:rFonts w:eastAsia="Times New Roman" w:cs="Arial"/>
              </w:rPr>
            </w:pPr>
            <w:r>
              <w:rPr>
                <w:rFonts w:eastAsia="Times New Roman" w:cs="Arial"/>
              </w:rPr>
              <w:t>468</w:t>
            </w:r>
          </w:p>
        </w:tc>
        <w:tc>
          <w:tcPr>
            <w:tcW w:w="851" w:type="dxa"/>
            <w:shd w:val="clear" w:color="auto" w:fill="auto"/>
            <w:noWrap/>
            <w:vAlign w:val="bottom"/>
            <w:hideMark/>
          </w:tcPr>
          <w:p w:rsidR="0020499E" w:rsidRDefault="008E27E1">
            <w:pPr>
              <w:jc w:val="center"/>
              <w:rPr>
                <w:rFonts w:eastAsia="Times New Roman" w:cs="Arial"/>
              </w:rPr>
            </w:pPr>
            <w:r>
              <w:rPr>
                <w:rFonts w:eastAsia="Times New Roman" w:cs="Arial"/>
              </w:rPr>
              <w:t>717</w:t>
            </w:r>
          </w:p>
        </w:tc>
      </w:tr>
      <w:tr w:rsidR="0020499E">
        <w:trPr>
          <w:trHeight w:val="312"/>
        </w:trPr>
        <w:tc>
          <w:tcPr>
            <w:tcW w:w="5104" w:type="dxa"/>
            <w:shd w:val="clear" w:color="auto" w:fill="auto"/>
            <w:vAlign w:val="center"/>
            <w:hideMark/>
          </w:tcPr>
          <w:p w:rsidR="0020499E" w:rsidRDefault="008E27E1">
            <w:pPr>
              <w:rPr>
                <w:rFonts w:eastAsia="Times New Roman"/>
                <w:color w:val="000000"/>
              </w:rPr>
            </w:pPr>
            <w:r>
              <w:rPr>
                <w:rFonts w:eastAsia="Times New Roman"/>
                <w:color w:val="000000"/>
              </w:rPr>
              <w:t xml:space="preserve">  Science</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5</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101</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188</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328</w:t>
            </w:r>
          </w:p>
        </w:tc>
        <w:tc>
          <w:tcPr>
            <w:tcW w:w="850" w:type="dxa"/>
            <w:shd w:val="clear" w:color="auto" w:fill="auto"/>
            <w:noWrap/>
            <w:vAlign w:val="bottom"/>
            <w:hideMark/>
          </w:tcPr>
          <w:p w:rsidR="0020499E" w:rsidRDefault="008E27E1">
            <w:pPr>
              <w:jc w:val="center"/>
              <w:rPr>
                <w:rFonts w:eastAsia="Times New Roman" w:cs="Arial"/>
              </w:rPr>
            </w:pPr>
            <w:r>
              <w:rPr>
                <w:rFonts w:eastAsia="Times New Roman" w:cs="Arial"/>
              </w:rPr>
              <w:t>313</w:t>
            </w:r>
          </w:p>
        </w:tc>
        <w:tc>
          <w:tcPr>
            <w:tcW w:w="851" w:type="dxa"/>
            <w:shd w:val="clear" w:color="auto" w:fill="auto"/>
            <w:noWrap/>
            <w:vAlign w:val="bottom"/>
            <w:hideMark/>
          </w:tcPr>
          <w:p w:rsidR="0020499E" w:rsidRDefault="008E27E1">
            <w:pPr>
              <w:jc w:val="center"/>
              <w:rPr>
                <w:rFonts w:eastAsia="Times New Roman" w:cs="Arial"/>
              </w:rPr>
            </w:pPr>
            <w:r>
              <w:rPr>
                <w:rFonts w:eastAsia="Times New Roman" w:cs="Arial"/>
              </w:rPr>
              <w:t>242</w:t>
            </w:r>
          </w:p>
        </w:tc>
      </w:tr>
      <w:tr w:rsidR="0020499E">
        <w:trPr>
          <w:trHeight w:val="312"/>
        </w:trPr>
        <w:tc>
          <w:tcPr>
            <w:tcW w:w="5104" w:type="dxa"/>
            <w:shd w:val="clear" w:color="auto" w:fill="auto"/>
            <w:vAlign w:val="center"/>
            <w:hideMark/>
          </w:tcPr>
          <w:p w:rsidR="0020499E" w:rsidRDefault="008E27E1">
            <w:pPr>
              <w:rPr>
                <w:rFonts w:eastAsia="Times New Roman"/>
                <w:color w:val="000000"/>
              </w:rPr>
            </w:pPr>
            <w:r>
              <w:rPr>
                <w:rFonts w:eastAsia="Times New Roman"/>
                <w:color w:val="000000"/>
              </w:rPr>
              <w:t xml:space="preserve">  Engineering, manufacturing and construction</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32</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47</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143</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138</w:t>
            </w:r>
          </w:p>
        </w:tc>
        <w:tc>
          <w:tcPr>
            <w:tcW w:w="850" w:type="dxa"/>
            <w:shd w:val="clear" w:color="auto" w:fill="auto"/>
            <w:noWrap/>
            <w:vAlign w:val="bottom"/>
            <w:hideMark/>
          </w:tcPr>
          <w:p w:rsidR="0020499E" w:rsidRDefault="008E27E1">
            <w:pPr>
              <w:jc w:val="center"/>
              <w:rPr>
                <w:rFonts w:eastAsia="Times New Roman" w:cs="Arial"/>
              </w:rPr>
            </w:pPr>
            <w:r>
              <w:rPr>
                <w:rFonts w:eastAsia="Times New Roman" w:cs="Arial"/>
              </w:rPr>
              <w:t>116</w:t>
            </w:r>
          </w:p>
        </w:tc>
        <w:tc>
          <w:tcPr>
            <w:tcW w:w="851" w:type="dxa"/>
            <w:shd w:val="clear" w:color="auto" w:fill="auto"/>
            <w:noWrap/>
            <w:vAlign w:val="bottom"/>
            <w:hideMark/>
          </w:tcPr>
          <w:p w:rsidR="0020499E" w:rsidRDefault="008E27E1">
            <w:pPr>
              <w:jc w:val="center"/>
              <w:rPr>
                <w:rFonts w:eastAsia="Times New Roman" w:cs="Arial"/>
              </w:rPr>
            </w:pPr>
            <w:r>
              <w:rPr>
                <w:rFonts w:eastAsia="Times New Roman" w:cs="Arial"/>
              </w:rPr>
              <w:t>118</w:t>
            </w:r>
          </w:p>
        </w:tc>
      </w:tr>
      <w:tr w:rsidR="0020499E">
        <w:trPr>
          <w:trHeight w:val="312"/>
        </w:trPr>
        <w:tc>
          <w:tcPr>
            <w:tcW w:w="5104" w:type="dxa"/>
            <w:shd w:val="clear" w:color="auto" w:fill="auto"/>
            <w:vAlign w:val="center"/>
            <w:hideMark/>
          </w:tcPr>
          <w:p w:rsidR="0020499E" w:rsidRDefault="008E27E1">
            <w:pPr>
              <w:rPr>
                <w:rFonts w:eastAsia="Times New Roman"/>
                <w:color w:val="000000"/>
              </w:rPr>
            </w:pPr>
            <w:r>
              <w:rPr>
                <w:rFonts w:eastAsia="Times New Roman"/>
                <w:color w:val="000000"/>
              </w:rPr>
              <w:t xml:space="preserve">  Agriculture </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12</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39</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110</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40</w:t>
            </w:r>
          </w:p>
        </w:tc>
        <w:tc>
          <w:tcPr>
            <w:tcW w:w="850" w:type="dxa"/>
            <w:shd w:val="clear" w:color="auto" w:fill="auto"/>
            <w:noWrap/>
            <w:vAlign w:val="bottom"/>
            <w:hideMark/>
          </w:tcPr>
          <w:p w:rsidR="0020499E" w:rsidRDefault="008E27E1">
            <w:pPr>
              <w:jc w:val="center"/>
              <w:rPr>
                <w:rFonts w:eastAsia="Times New Roman" w:cs="Arial"/>
              </w:rPr>
            </w:pPr>
            <w:r>
              <w:rPr>
                <w:rFonts w:eastAsia="Times New Roman" w:cs="Arial"/>
              </w:rPr>
              <w:t>3</w:t>
            </w:r>
          </w:p>
        </w:tc>
        <w:tc>
          <w:tcPr>
            <w:tcW w:w="851" w:type="dxa"/>
            <w:shd w:val="clear" w:color="auto" w:fill="auto"/>
            <w:noWrap/>
            <w:vAlign w:val="bottom"/>
            <w:hideMark/>
          </w:tcPr>
          <w:p w:rsidR="0020499E" w:rsidRDefault="008E27E1">
            <w:pPr>
              <w:jc w:val="center"/>
              <w:rPr>
                <w:rFonts w:eastAsia="Times New Roman" w:cs="Arial"/>
              </w:rPr>
            </w:pPr>
            <w:r>
              <w:rPr>
                <w:rFonts w:eastAsia="Times New Roman" w:cs="Arial"/>
              </w:rPr>
              <w:t>6</w:t>
            </w:r>
          </w:p>
        </w:tc>
      </w:tr>
      <w:tr w:rsidR="0020499E">
        <w:trPr>
          <w:trHeight w:val="312"/>
        </w:trPr>
        <w:tc>
          <w:tcPr>
            <w:tcW w:w="5104" w:type="dxa"/>
            <w:shd w:val="clear" w:color="auto" w:fill="auto"/>
            <w:vAlign w:val="center"/>
            <w:hideMark/>
          </w:tcPr>
          <w:p w:rsidR="0020499E" w:rsidRDefault="008E27E1">
            <w:pPr>
              <w:rPr>
                <w:rFonts w:eastAsia="Times New Roman"/>
                <w:color w:val="000000"/>
              </w:rPr>
            </w:pPr>
            <w:r>
              <w:rPr>
                <w:rFonts w:eastAsia="Times New Roman"/>
                <w:color w:val="000000"/>
              </w:rPr>
              <w:t xml:space="preserve">  Health and welfare</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4</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51</w:t>
            </w:r>
          </w:p>
        </w:tc>
        <w:tc>
          <w:tcPr>
            <w:tcW w:w="850" w:type="dxa"/>
            <w:shd w:val="clear" w:color="auto" w:fill="auto"/>
            <w:vAlign w:val="bottom"/>
            <w:hideMark/>
          </w:tcPr>
          <w:p w:rsidR="0020499E" w:rsidRDefault="008E27E1">
            <w:pPr>
              <w:jc w:val="center"/>
              <w:rPr>
                <w:rFonts w:eastAsia="Times New Roman" w:cs="Arial"/>
              </w:rPr>
            </w:pPr>
            <w:r>
              <w:rPr>
                <w:rFonts w:eastAsia="Times New Roman" w:cs="Arial"/>
              </w:rPr>
              <w:t>140</w:t>
            </w:r>
          </w:p>
        </w:tc>
        <w:tc>
          <w:tcPr>
            <w:tcW w:w="851" w:type="dxa"/>
            <w:shd w:val="clear" w:color="auto" w:fill="auto"/>
            <w:vAlign w:val="bottom"/>
            <w:hideMark/>
          </w:tcPr>
          <w:p w:rsidR="0020499E" w:rsidRDefault="008E27E1">
            <w:pPr>
              <w:jc w:val="center"/>
              <w:rPr>
                <w:rFonts w:eastAsia="Times New Roman" w:cs="Arial"/>
              </w:rPr>
            </w:pPr>
            <w:r>
              <w:rPr>
                <w:rFonts w:eastAsia="Times New Roman" w:cs="Arial"/>
              </w:rPr>
              <w:t>125</w:t>
            </w:r>
          </w:p>
        </w:tc>
        <w:tc>
          <w:tcPr>
            <w:tcW w:w="850" w:type="dxa"/>
            <w:shd w:val="clear" w:color="auto" w:fill="auto"/>
            <w:noWrap/>
            <w:vAlign w:val="bottom"/>
            <w:hideMark/>
          </w:tcPr>
          <w:p w:rsidR="0020499E" w:rsidRDefault="008E27E1">
            <w:pPr>
              <w:jc w:val="center"/>
              <w:rPr>
                <w:rFonts w:eastAsia="Times New Roman" w:cs="Arial"/>
              </w:rPr>
            </w:pPr>
            <w:r>
              <w:rPr>
                <w:rFonts w:eastAsia="Times New Roman" w:cs="Arial"/>
              </w:rPr>
              <w:t>158</w:t>
            </w:r>
          </w:p>
        </w:tc>
        <w:tc>
          <w:tcPr>
            <w:tcW w:w="851" w:type="dxa"/>
            <w:shd w:val="clear" w:color="auto" w:fill="auto"/>
            <w:noWrap/>
            <w:vAlign w:val="bottom"/>
            <w:hideMark/>
          </w:tcPr>
          <w:p w:rsidR="0020499E" w:rsidRDefault="008E27E1">
            <w:pPr>
              <w:jc w:val="center"/>
              <w:rPr>
                <w:rFonts w:eastAsia="Times New Roman" w:cs="Arial"/>
              </w:rPr>
            </w:pPr>
            <w:r>
              <w:rPr>
                <w:rFonts w:eastAsia="Times New Roman" w:cs="Arial"/>
              </w:rPr>
              <w:t>188</w:t>
            </w:r>
          </w:p>
        </w:tc>
      </w:tr>
      <w:tr w:rsidR="0020499E">
        <w:trPr>
          <w:trHeight w:val="312"/>
        </w:trPr>
        <w:tc>
          <w:tcPr>
            <w:tcW w:w="5104" w:type="dxa"/>
            <w:tcBorders>
              <w:bottom w:val="single" w:sz="4" w:space="0" w:color="auto"/>
            </w:tcBorders>
            <w:shd w:val="clear" w:color="auto" w:fill="auto"/>
            <w:vAlign w:val="center"/>
            <w:hideMark/>
          </w:tcPr>
          <w:p w:rsidR="0020499E" w:rsidRDefault="008E27E1">
            <w:pPr>
              <w:rPr>
                <w:rFonts w:eastAsia="Times New Roman"/>
                <w:color w:val="000000"/>
              </w:rPr>
            </w:pPr>
            <w:r>
              <w:rPr>
                <w:rFonts w:eastAsia="Times New Roman"/>
                <w:color w:val="000000"/>
              </w:rPr>
              <w:t xml:space="preserve">  Services</w:t>
            </w:r>
          </w:p>
        </w:tc>
        <w:tc>
          <w:tcPr>
            <w:tcW w:w="850" w:type="dxa"/>
            <w:tcBorders>
              <w:bottom w:val="single" w:sz="4" w:space="0" w:color="auto"/>
            </w:tcBorders>
            <w:shd w:val="clear" w:color="auto" w:fill="auto"/>
            <w:vAlign w:val="bottom"/>
            <w:hideMark/>
          </w:tcPr>
          <w:p w:rsidR="0020499E" w:rsidRDefault="008E27E1">
            <w:pPr>
              <w:jc w:val="center"/>
              <w:rPr>
                <w:rFonts w:eastAsia="Times New Roman" w:cs="Arial"/>
              </w:rPr>
            </w:pPr>
            <w:r>
              <w:rPr>
                <w:rFonts w:eastAsia="Times New Roman" w:cs="Arial"/>
              </w:rPr>
              <w:t>-</w:t>
            </w:r>
          </w:p>
        </w:tc>
        <w:tc>
          <w:tcPr>
            <w:tcW w:w="851" w:type="dxa"/>
            <w:tcBorders>
              <w:bottom w:val="single" w:sz="4" w:space="0" w:color="auto"/>
            </w:tcBorders>
            <w:shd w:val="clear" w:color="auto" w:fill="auto"/>
            <w:vAlign w:val="bottom"/>
            <w:hideMark/>
          </w:tcPr>
          <w:p w:rsidR="0020499E" w:rsidRDefault="008E27E1">
            <w:pPr>
              <w:jc w:val="center"/>
              <w:rPr>
                <w:rFonts w:eastAsia="Times New Roman" w:cs="Arial"/>
              </w:rPr>
            </w:pPr>
            <w:r>
              <w:rPr>
                <w:rFonts w:eastAsia="Times New Roman" w:cs="Arial"/>
              </w:rPr>
              <w:t>4</w:t>
            </w:r>
          </w:p>
        </w:tc>
        <w:tc>
          <w:tcPr>
            <w:tcW w:w="850" w:type="dxa"/>
            <w:tcBorders>
              <w:bottom w:val="single" w:sz="4" w:space="0" w:color="auto"/>
            </w:tcBorders>
            <w:shd w:val="clear" w:color="auto" w:fill="auto"/>
            <w:vAlign w:val="bottom"/>
            <w:hideMark/>
          </w:tcPr>
          <w:p w:rsidR="0020499E" w:rsidRDefault="008E27E1">
            <w:pPr>
              <w:jc w:val="center"/>
              <w:rPr>
                <w:rFonts w:eastAsia="Times New Roman" w:cs="Arial"/>
              </w:rPr>
            </w:pPr>
            <w:r>
              <w:rPr>
                <w:rFonts w:eastAsia="Times New Roman" w:cs="Arial"/>
              </w:rPr>
              <w:t>32</w:t>
            </w:r>
          </w:p>
        </w:tc>
        <w:tc>
          <w:tcPr>
            <w:tcW w:w="851" w:type="dxa"/>
            <w:tcBorders>
              <w:bottom w:val="single" w:sz="4" w:space="0" w:color="auto"/>
            </w:tcBorders>
            <w:shd w:val="clear" w:color="auto" w:fill="auto"/>
            <w:vAlign w:val="bottom"/>
            <w:hideMark/>
          </w:tcPr>
          <w:p w:rsidR="0020499E" w:rsidRDefault="008E27E1">
            <w:pPr>
              <w:jc w:val="center"/>
              <w:rPr>
                <w:rFonts w:eastAsia="Times New Roman" w:cs="Arial"/>
              </w:rPr>
            </w:pPr>
            <w:r>
              <w:rPr>
                <w:rFonts w:eastAsia="Times New Roman" w:cs="Arial"/>
              </w:rPr>
              <w:t>48</w:t>
            </w:r>
          </w:p>
        </w:tc>
        <w:tc>
          <w:tcPr>
            <w:tcW w:w="850" w:type="dxa"/>
            <w:tcBorders>
              <w:bottom w:val="single" w:sz="4" w:space="0" w:color="auto"/>
            </w:tcBorders>
            <w:shd w:val="clear" w:color="auto" w:fill="auto"/>
            <w:noWrap/>
            <w:vAlign w:val="bottom"/>
            <w:hideMark/>
          </w:tcPr>
          <w:p w:rsidR="0020499E" w:rsidRDefault="008E27E1">
            <w:pPr>
              <w:jc w:val="center"/>
              <w:rPr>
                <w:rFonts w:eastAsia="Times New Roman" w:cs="Arial"/>
              </w:rPr>
            </w:pPr>
            <w:r>
              <w:rPr>
                <w:rFonts w:eastAsia="Times New Roman" w:cs="Arial"/>
              </w:rPr>
              <w:t>37</w:t>
            </w:r>
          </w:p>
        </w:tc>
        <w:tc>
          <w:tcPr>
            <w:tcW w:w="851" w:type="dxa"/>
            <w:tcBorders>
              <w:bottom w:val="single" w:sz="4" w:space="0" w:color="auto"/>
            </w:tcBorders>
            <w:shd w:val="clear" w:color="auto" w:fill="auto"/>
            <w:noWrap/>
            <w:vAlign w:val="bottom"/>
            <w:hideMark/>
          </w:tcPr>
          <w:p w:rsidR="0020499E" w:rsidRDefault="008E27E1">
            <w:pPr>
              <w:jc w:val="center"/>
              <w:rPr>
                <w:rFonts w:eastAsia="Times New Roman" w:cs="Arial"/>
              </w:rPr>
            </w:pPr>
            <w:r>
              <w:rPr>
                <w:rFonts w:eastAsia="Times New Roman" w:cs="Arial"/>
              </w:rPr>
              <w:t>21</w:t>
            </w:r>
          </w:p>
        </w:tc>
      </w:tr>
      <w:tr w:rsidR="0020499E">
        <w:trPr>
          <w:trHeight w:val="264"/>
        </w:trPr>
        <w:tc>
          <w:tcPr>
            <w:tcW w:w="10207" w:type="dxa"/>
            <w:gridSpan w:val="7"/>
            <w:tcBorders>
              <w:left w:val="nil"/>
              <w:bottom w:val="nil"/>
              <w:right w:val="nil"/>
            </w:tcBorders>
            <w:shd w:val="clear" w:color="auto" w:fill="auto"/>
            <w:vAlign w:val="center"/>
            <w:hideMark/>
          </w:tcPr>
          <w:p w:rsidR="0020499E" w:rsidRDefault="008E27E1">
            <w:pPr>
              <w:rPr>
                <w:rFonts w:eastAsia="Times New Roman" w:cs="Arial"/>
              </w:rPr>
            </w:pPr>
            <w:r>
              <w:rPr>
                <w:rFonts w:eastAsia="Times New Roman"/>
                <w:color w:val="000000"/>
              </w:rPr>
              <w:t>Source: National  Statistics Office of  Georgia</w:t>
            </w:r>
          </w:p>
        </w:tc>
      </w:tr>
    </w:tbl>
    <w:p w:rsidR="0020499E" w:rsidRDefault="0020499E">
      <w:pPr>
        <w:ind w:firstLine="720"/>
      </w:pPr>
    </w:p>
    <w:p w:rsidR="0020499E" w:rsidRDefault="0020499E">
      <w:pPr>
        <w:ind w:firstLine="720"/>
      </w:pPr>
    </w:p>
    <w:p w:rsidR="0020499E" w:rsidRDefault="008E27E1">
      <w:pPr>
        <w:rPr>
          <w:b/>
          <w:bCs/>
        </w:rPr>
      </w:pPr>
      <w:r>
        <w:rPr>
          <w:b/>
          <w:bCs/>
        </w:rPr>
        <w:t xml:space="preserve">g. Number of researchers by </w:t>
      </w:r>
      <w:r>
        <w:rPr>
          <w:b/>
          <w:bCs/>
        </w:rPr>
        <w:t>field</w:t>
      </w:r>
    </w:p>
    <w:p w:rsidR="0020499E" w:rsidRDefault="0020499E">
      <w:pPr>
        <w:ind w:firstLine="720"/>
      </w:pPr>
    </w:p>
    <w:tbl>
      <w:tblPr>
        <w:tblW w:w="58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35"/>
        <w:gridCol w:w="992"/>
      </w:tblGrid>
      <w:tr w:rsidR="0020499E">
        <w:trPr>
          <w:trHeight w:val="288"/>
        </w:trPr>
        <w:tc>
          <w:tcPr>
            <w:tcW w:w="4835" w:type="dxa"/>
            <w:shd w:val="clear" w:color="auto" w:fill="auto"/>
            <w:noWrap/>
            <w:vAlign w:val="bottom"/>
            <w:hideMark/>
          </w:tcPr>
          <w:p w:rsidR="0020499E" w:rsidRDefault="008E27E1">
            <w:pPr>
              <w:rPr>
                <w:rFonts w:eastAsia="Times New Roman"/>
                <w:color w:val="000000"/>
              </w:rPr>
            </w:pPr>
            <w:r>
              <w:rPr>
                <w:rFonts w:eastAsia="Times New Roman"/>
                <w:color w:val="000000"/>
              </w:rPr>
              <w:t>Agrarian sciences</w:t>
            </w:r>
          </w:p>
        </w:tc>
        <w:tc>
          <w:tcPr>
            <w:tcW w:w="992" w:type="dxa"/>
            <w:shd w:val="clear" w:color="auto" w:fill="auto"/>
            <w:noWrap/>
            <w:vAlign w:val="bottom"/>
            <w:hideMark/>
          </w:tcPr>
          <w:p w:rsidR="0020499E" w:rsidRDefault="008E27E1">
            <w:pPr>
              <w:jc w:val="center"/>
              <w:rPr>
                <w:rFonts w:eastAsia="Times New Roman"/>
                <w:color w:val="000000"/>
              </w:rPr>
            </w:pPr>
            <w:r>
              <w:rPr>
                <w:rFonts w:eastAsia="Times New Roman"/>
                <w:color w:val="000000"/>
              </w:rPr>
              <w:t>125</w:t>
            </w:r>
          </w:p>
        </w:tc>
      </w:tr>
      <w:tr w:rsidR="0020499E">
        <w:trPr>
          <w:trHeight w:val="288"/>
        </w:trPr>
        <w:tc>
          <w:tcPr>
            <w:tcW w:w="4835" w:type="dxa"/>
            <w:shd w:val="clear" w:color="auto" w:fill="auto"/>
            <w:noWrap/>
            <w:vAlign w:val="bottom"/>
            <w:hideMark/>
          </w:tcPr>
          <w:p w:rsidR="0020499E" w:rsidRDefault="008E27E1">
            <w:pPr>
              <w:rPr>
                <w:rFonts w:eastAsia="Times New Roman"/>
                <w:color w:val="000000"/>
              </w:rPr>
            </w:pPr>
            <w:r>
              <w:rPr>
                <w:rFonts w:eastAsia="Times New Roman"/>
                <w:color w:val="000000"/>
              </w:rPr>
              <w:t>Arts and Humanities</w:t>
            </w:r>
          </w:p>
        </w:tc>
        <w:tc>
          <w:tcPr>
            <w:tcW w:w="992" w:type="dxa"/>
            <w:shd w:val="clear" w:color="auto" w:fill="auto"/>
            <w:noWrap/>
            <w:vAlign w:val="bottom"/>
            <w:hideMark/>
          </w:tcPr>
          <w:p w:rsidR="0020499E" w:rsidRDefault="008E27E1">
            <w:pPr>
              <w:jc w:val="center"/>
              <w:rPr>
                <w:rFonts w:eastAsia="Times New Roman"/>
                <w:color w:val="000000"/>
              </w:rPr>
            </w:pPr>
            <w:r>
              <w:rPr>
                <w:rFonts w:eastAsia="Times New Roman"/>
                <w:color w:val="000000"/>
              </w:rPr>
              <w:t>370</w:t>
            </w:r>
          </w:p>
        </w:tc>
      </w:tr>
      <w:tr w:rsidR="0020499E">
        <w:trPr>
          <w:trHeight w:val="288"/>
        </w:trPr>
        <w:tc>
          <w:tcPr>
            <w:tcW w:w="4835" w:type="dxa"/>
            <w:shd w:val="clear" w:color="auto" w:fill="auto"/>
            <w:noWrap/>
            <w:vAlign w:val="bottom"/>
            <w:hideMark/>
          </w:tcPr>
          <w:p w:rsidR="0020499E" w:rsidRDefault="008E27E1">
            <w:pPr>
              <w:rPr>
                <w:rFonts w:eastAsia="Times New Roman"/>
                <w:color w:val="000000"/>
              </w:rPr>
            </w:pPr>
            <w:r>
              <w:rPr>
                <w:rFonts w:eastAsia="Times New Roman"/>
                <w:color w:val="000000"/>
              </w:rPr>
              <w:t>Astrophysics</w:t>
            </w:r>
          </w:p>
        </w:tc>
        <w:tc>
          <w:tcPr>
            <w:tcW w:w="992" w:type="dxa"/>
            <w:shd w:val="clear" w:color="auto" w:fill="auto"/>
            <w:noWrap/>
            <w:vAlign w:val="bottom"/>
            <w:hideMark/>
          </w:tcPr>
          <w:p w:rsidR="0020499E" w:rsidRDefault="008E27E1">
            <w:pPr>
              <w:jc w:val="center"/>
              <w:rPr>
                <w:rFonts w:eastAsia="Times New Roman"/>
                <w:color w:val="000000"/>
              </w:rPr>
            </w:pPr>
            <w:r>
              <w:rPr>
                <w:rFonts w:eastAsia="Times New Roman"/>
                <w:color w:val="000000"/>
              </w:rPr>
              <w:t>71</w:t>
            </w:r>
          </w:p>
        </w:tc>
      </w:tr>
      <w:tr w:rsidR="0020499E">
        <w:trPr>
          <w:trHeight w:val="288"/>
        </w:trPr>
        <w:tc>
          <w:tcPr>
            <w:tcW w:w="4835" w:type="dxa"/>
            <w:shd w:val="clear" w:color="auto" w:fill="auto"/>
            <w:noWrap/>
            <w:vAlign w:val="bottom"/>
            <w:hideMark/>
          </w:tcPr>
          <w:p w:rsidR="0020499E" w:rsidRDefault="008E27E1">
            <w:pPr>
              <w:rPr>
                <w:rFonts w:eastAsia="Times New Roman"/>
                <w:color w:val="000000"/>
              </w:rPr>
            </w:pPr>
            <w:r>
              <w:rPr>
                <w:rFonts w:eastAsia="Times New Roman"/>
                <w:color w:val="000000"/>
              </w:rPr>
              <w:t>Biochemistry, Genetics and Molecular Biology</w:t>
            </w:r>
          </w:p>
        </w:tc>
        <w:tc>
          <w:tcPr>
            <w:tcW w:w="992" w:type="dxa"/>
            <w:shd w:val="clear" w:color="auto" w:fill="auto"/>
            <w:noWrap/>
            <w:vAlign w:val="bottom"/>
            <w:hideMark/>
          </w:tcPr>
          <w:p w:rsidR="0020499E" w:rsidRDefault="008E27E1">
            <w:pPr>
              <w:jc w:val="center"/>
              <w:rPr>
                <w:rFonts w:eastAsia="Times New Roman"/>
                <w:color w:val="000000"/>
              </w:rPr>
            </w:pPr>
            <w:r>
              <w:rPr>
                <w:rFonts w:eastAsia="Times New Roman"/>
                <w:color w:val="000000"/>
              </w:rPr>
              <w:t>100</w:t>
            </w:r>
          </w:p>
        </w:tc>
      </w:tr>
      <w:tr w:rsidR="0020499E">
        <w:trPr>
          <w:trHeight w:val="288"/>
        </w:trPr>
        <w:tc>
          <w:tcPr>
            <w:tcW w:w="4835" w:type="dxa"/>
            <w:shd w:val="clear" w:color="auto" w:fill="auto"/>
            <w:noWrap/>
            <w:vAlign w:val="bottom"/>
            <w:hideMark/>
          </w:tcPr>
          <w:p w:rsidR="0020499E" w:rsidRDefault="008E27E1">
            <w:pPr>
              <w:rPr>
                <w:rFonts w:eastAsia="Times New Roman"/>
                <w:color w:val="000000"/>
              </w:rPr>
            </w:pPr>
            <w:r>
              <w:rPr>
                <w:rFonts w:eastAsia="Times New Roman"/>
                <w:color w:val="000000"/>
              </w:rPr>
              <w:t>Biology</w:t>
            </w:r>
          </w:p>
        </w:tc>
        <w:tc>
          <w:tcPr>
            <w:tcW w:w="992" w:type="dxa"/>
            <w:shd w:val="clear" w:color="auto" w:fill="auto"/>
            <w:noWrap/>
            <w:vAlign w:val="bottom"/>
            <w:hideMark/>
          </w:tcPr>
          <w:p w:rsidR="0020499E" w:rsidRDefault="008E27E1">
            <w:pPr>
              <w:jc w:val="center"/>
              <w:rPr>
                <w:rFonts w:eastAsia="Times New Roman"/>
                <w:color w:val="000000"/>
              </w:rPr>
            </w:pPr>
            <w:r>
              <w:rPr>
                <w:rFonts w:eastAsia="Times New Roman"/>
                <w:color w:val="000000"/>
              </w:rPr>
              <w:t>167</w:t>
            </w:r>
          </w:p>
        </w:tc>
      </w:tr>
      <w:tr w:rsidR="0020499E">
        <w:trPr>
          <w:trHeight w:val="288"/>
        </w:trPr>
        <w:tc>
          <w:tcPr>
            <w:tcW w:w="4835" w:type="dxa"/>
            <w:shd w:val="clear" w:color="auto" w:fill="auto"/>
            <w:noWrap/>
            <w:vAlign w:val="bottom"/>
            <w:hideMark/>
          </w:tcPr>
          <w:p w:rsidR="0020499E" w:rsidRDefault="008E27E1">
            <w:pPr>
              <w:rPr>
                <w:rFonts w:eastAsia="Times New Roman"/>
                <w:color w:val="000000"/>
              </w:rPr>
            </w:pPr>
            <w:r>
              <w:rPr>
                <w:rFonts w:eastAsia="Times New Roman"/>
                <w:color w:val="000000"/>
              </w:rPr>
              <w:t>Chemistry</w:t>
            </w:r>
          </w:p>
        </w:tc>
        <w:tc>
          <w:tcPr>
            <w:tcW w:w="992" w:type="dxa"/>
            <w:shd w:val="clear" w:color="auto" w:fill="auto"/>
            <w:noWrap/>
            <w:vAlign w:val="bottom"/>
            <w:hideMark/>
          </w:tcPr>
          <w:p w:rsidR="0020499E" w:rsidRDefault="008E27E1">
            <w:pPr>
              <w:jc w:val="center"/>
              <w:rPr>
                <w:rFonts w:eastAsia="Times New Roman"/>
                <w:color w:val="000000"/>
              </w:rPr>
            </w:pPr>
            <w:r>
              <w:rPr>
                <w:rFonts w:eastAsia="Times New Roman"/>
                <w:color w:val="000000"/>
              </w:rPr>
              <w:t>182</w:t>
            </w:r>
          </w:p>
        </w:tc>
      </w:tr>
      <w:tr w:rsidR="0020499E">
        <w:trPr>
          <w:trHeight w:val="288"/>
        </w:trPr>
        <w:tc>
          <w:tcPr>
            <w:tcW w:w="4835" w:type="dxa"/>
            <w:shd w:val="clear" w:color="auto" w:fill="auto"/>
            <w:noWrap/>
            <w:vAlign w:val="bottom"/>
            <w:hideMark/>
          </w:tcPr>
          <w:p w:rsidR="0020499E" w:rsidRDefault="008E27E1">
            <w:pPr>
              <w:rPr>
                <w:rFonts w:eastAsia="Times New Roman"/>
                <w:color w:val="000000"/>
              </w:rPr>
            </w:pPr>
            <w:r>
              <w:rPr>
                <w:rFonts w:eastAsia="Times New Roman"/>
                <w:color w:val="000000"/>
              </w:rPr>
              <w:t>Engineering and technology</w:t>
            </w:r>
          </w:p>
        </w:tc>
        <w:tc>
          <w:tcPr>
            <w:tcW w:w="992" w:type="dxa"/>
            <w:shd w:val="clear" w:color="auto" w:fill="auto"/>
            <w:noWrap/>
            <w:vAlign w:val="bottom"/>
            <w:hideMark/>
          </w:tcPr>
          <w:p w:rsidR="0020499E" w:rsidRDefault="008E27E1">
            <w:pPr>
              <w:jc w:val="center"/>
              <w:rPr>
                <w:rFonts w:eastAsia="Times New Roman"/>
                <w:color w:val="000000"/>
              </w:rPr>
            </w:pPr>
            <w:r>
              <w:rPr>
                <w:rFonts w:eastAsia="Times New Roman"/>
                <w:color w:val="000000"/>
              </w:rPr>
              <w:t>336</w:t>
            </w:r>
          </w:p>
        </w:tc>
      </w:tr>
      <w:tr w:rsidR="0020499E">
        <w:trPr>
          <w:trHeight w:val="288"/>
        </w:trPr>
        <w:tc>
          <w:tcPr>
            <w:tcW w:w="4835" w:type="dxa"/>
            <w:shd w:val="clear" w:color="auto" w:fill="auto"/>
            <w:noWrap/>
            <w:vAlign w:val="bottom"/>
            <w:hideMark/>
          </w:tcPr>
          <w:p w:rsidR="0020499E" w:rsidRDefault="008E27E1">
            <w:pPr>
              <w:rPr>
                <w:rFonts w:eastAsia="Times New Roman"/>
                <w:color w:val="000000"/>
              </w:rPr>
            </w:pPr>
            <w:r>
              <w:rPr>
                <w:rFonts w:eastAsia="Times New Roman"/>
                <w:color w:val="000000"/>
              </w:rPr>
              <w:t>Geography</w:t>
            </w:r>
          </w:p>
        </w:tc>
        <w:tc>
          <w:tcPr>
            <w:tcW w:w="992" w:type="dxa"/>
            <w:shd w:val="clear" w:color="auto" w:fill="auto"/>
            <w:noWrap/>
            <w:vAlign w:val="bottom"/>
            <w:hideMark/>
          </w:tcPr>
          <w:p w:rsidR="0020499E" w:rsidRDefault="008E27E1">
            <w:pPr>
              <w:jc w:val="center"/>
              <w:rPr>
                <w:rFonts w:eastAsia="Times New Roman"/>
                <w:color w:val="000000"/>
              </w:rPr>
            </w:pPr>
            <w:r>
              <w:rPr>
                <w:rFonts w:eastAsia="Times New Roman"/>
                <w:color w:val="000000"/>
              </w:rPr>
              <w:t>38</w:t>
            </w:r>
          </w:p>
        </w:tc>
      </w:tr>
      <w:tr w:rsidR="0020499E">
        <w:trPr>
          <w:trHeight w:val="288"/>
        </w:trPr>
        <w:tc>
          <w:tcPr>
            <w:tcW w:w="4835" w:type="dxa"/>
            <w:shd w:val="clear" w:color="auto" w:fill="auto"/>
            <w:noWrap/>
            <w:vAlign w:val="bottom"/>
            <w:hideMark/>
          </w:tcPr>
          <w:p w:rsidR="0020499E" w:rsidRDefault="008E27E1">
            <w:pPr>
              <w:rPr>
                <w:rFonts w:eastAsia="Times New Roman"/>
                <w:color w:val="000000"/>
              </w:rPr>
            </w:pPr>
            <w:r>
              <w:rPr>
                <w:rFonts w:eastAsia="Times New Roman"/>
                <w:color w:val="000000"/>
              </w:rPr>
              <w:t>Geology</w:t>
            </w:r>
          </w:p>
        </w:tc>
        <w:tc>
          <w:tcPr>
            <w:tcW w:w="992" w:type="dxa"/>
            <w:shd w:val="clear" w:color="auto" w:fill="auto"/>
            <w:noWrap/>
            <w:vAlign w:val="bottom"/>
            <w:hideMark/>
          </w:tcPr>
          <w:p w:rsidR="0020499E" w:rsidRDefault="008E27E1">
            <w:pPr>
              <w:jc w:val="center"/>
              <w:rPr>
                <w:rFonts w:eastAsia="Times New Roman"/>
                <w:color w:val="000000"/>
              </w:rPr>
            </w:pPr>
            <w:r>
              <w:rPr>
                <w:rFonts w:eastAsia="Times New Roman"/>
                <w:color w:val="000000"/>
              </w:rPr>
              <w:t>48</w:t>
            </w:r>
          </w:p>
        </w:tc>
      </w:tr>
      <w:tr w:rsidR="0020499E">
        <w:trPr>
          <w:trHeight w:val="288"/>
        </w:trPr>
        <w:tc>
          <w:tcPr>
            <w:tcW w:w="4835" w:type="dxa"/>
            <w:shd w:val="clear" w:color="auto" w:fill="auto"/>
            <w:noWrap/>
            <w:vAlign w:val="bottom"/>
            <w:hideMark/>
          </w:tcPr>
          <w:p w:rsidR="0020499E" w:rsidRDefault="008E27E1">
            <w:pPr>
              <w:rPr>
                <w:rFonts w:eastAsia="Times New Roman"/>
                <w:color w:val="000000"/>
              </w:rPr>
            </w:pPr>
            <w:r>
              <w:rPr>
                <w:rFonts w:eastAsia="Times New Roman"/>
                <w:color w:val="000000"/>
              </w:rPr>
              <w:t>Geophysics</w:t>
            </w:r>
          </w:p>
        </w:tc>
        <w:tc>
          <w:tcPr>
            <w:tcW w:w="992" w:type="dxa"/>
            <w:shd w:val="clear" w:color="auto" w:fill="auto"/>
            <w:noWrap/>
            <w:vAlign w:val="bottom"/>
            <w:hideMark/>
          </w:tcPr>
          <w:p w:rsidR="0020499E" w:rsidRDefault="008E27E1">
            <w:pPr>
              <w:jc w:val="center"/>
              <w:rPr>
                <w:rFonts w:eastAsia="Times New Roman"/>
                <w:color w:val="000000"/>
              </w:rPr>
            </w:pPr>
            <w:r>
              <w:rPr>
                <w:rFonts w:eastAsia="Times New Roman"/>
                <w:color w:val="000000"/>
              </w:rPr>
              <w:t>69</w:t>
            </w:r>
          </w:p>
        </w:tc>
      </w:tr>
      <w:tr w:rsidR="0020499E">
        <w:trPr>
          <w:trHeight w:val="288"/>
        </w:trPr>
        <w:tc>
          <w:tcPr>
            <w:tcW w:w="4835" w:type="dxa"/>
            <w:shd w:val="clear" w:color="auto" w:fill="auto"/>
            <w:noWrap/>
            <w:vAlign w:val="bottom"/>
            <w:hideMark/>
          </w:tcPr>
          <w:p w:rsidR="0020499E" w:rsidRDefault="008E27E1">
            <w:pPr>
              <w:rPr>
                <w:rFonts w:eastAsia="Times New Roman"/>
                <w:color w:val="000000"/>
              </w:rPr>
            </w:pPr>
            <w:r>
              <w:rPr>
                <w:rFonts w:eastAsia="Times New Roman"/>
                <w:color w:val="000000"/>
              </w:rPr>
              <w:t>Mathematics</w:t>
            </w:r>
          </w:p>
        </w:tc>
        <w:tc>
          <w:tcPr>
            <w:tcW w:w="992" w:type="dxa"/>
            <w:shd w:val="clear" w:color="auto" w:fill="auto"/>
            <w:noWrap/>
            <w:vAlign w:val="bottom"/>
            <w:hideMark/>
          </w:tcPr>
          <w:p w:rsidR="0020499E" w:rsidRDefault="008E27E1">
            <w:pPr>
              <w:jc w:val="center"/>
              <w:rPr>
                <w:rFonts w:eastAsia="Times New Roman"/>
                <w:color w:val="000000"/>
              </w:rPr>
            </w:pPr>
            <w:r>
              <w:rPr>
                <w:rFonts w:eastAsia="Times New Roman"/>
                <w:color w:val="000000"/>
              </w:rPr>
              <w:t>102</w:t>
            </w:r>
          </w:p>
        </w:tc>
      </w:tr>
      <w:tr w:rsidR="0020499E">
        <w:trPr>
          <w:trHeight w:val="288"/>
        </w:trPr>
        <w:tc>
          <w:tcPr>
            <w:tcW w:w="4835" w:type="dxa"/>
            <w:shd w:val="clear" w:color="auto" w:fill="auto"/>
            <w:noWrap/>
            <w:vAlign w:val="bottom"/>
            <w:hideMark/>
          </w:tcPr>
          <w:p w:rsidR="0020499E" w:rsidRDefault="008E27E1">
            <w:pPr>
              <w:rPr>
                <w:rFonts w:eastAsia="Times New Roman"/>
                <w:color w:val="000000"/>
              </w:rPr>
            </w:pPr>
            <w:r>
              <w:rPr>
                <w:rFonts w:eastAsia="Times New Roman"/>
                <w:color w:val="000000"/>
              </w:rPr>
              <w:t xml:space="preserve">Medical and </w:t>
            </w:r>
            <w:r>
              <w:rPr>
                <w:rFonts w:eastAsia="Times New Roman"/>
                <w:color w:val="000000"/>
              </w:rPr>
              <w:t>Health sciences</w:t>
            </w:r>
          </w:p>
        </w:tc>
        <w:tc>
          <w:tcPr>
            <w:tcW w:w="992" w:type="dxa"/>
            <w:shd w:val="clear" w:color="auto" w:fill="auto"/>
            <w:noWrap/>
            <w:vAlign w:val="bottom"/>
            <w:hideMark/>
          </w:tcPr>
          <w:p w:rsidR="0020499E" w:rsidRDefault="008E27E1">
            <w:pPr>
              <w:jc w:val="center"/>
              <w:rPr>
                <w:rFonts w:eastAsia="Times New Roman"/>
                <w:color w:val="000000"/>
              </w:rPr>
            </w:pPr>
            <w:r>
              <w:rPr>
                <w:rFonts w:eastAsia="Times New Roman"/>
                <w:color w:val="000000"/>
              </w:rPr>
              <w:t>316</w:t>
            </w:r>
          </w:p>
        </w:tc>
      </w:tr>
      <w:tr w:rsidR="0020499E">
        <w:trPr>
          <w:trHeight w:val="288"/>
        </w:trPr>
        <w:tc>
          <w:tcPr>
            <w:tcW w:w="4835" w:type="dxa"/>
            <w:shd w:val="clear" w:color="auto" w:fill="auto"/>
            <w:noWrap/>
            <w:vAlign w:val="bottom"/>
            <w:hideMark/>
          </w:tcPr>
          <w:p w:rsidR="0020499E" w:rsidRDefault="008E27E1">
            <w:pPr>
              <w:rPr>
                <w:rFonts w:eastAsia="Times New Roman"/>
                <w:color w:val="000000"/>
              </w:rPr>
            </w:pPr>
            <w:r>
              <w:rPr>
                <w:rFonts w:eastAsia="Times New Roman"/>
                <w:color w:val="000000"/>
              </w:rPr>
              <w:t>Mixed</w:t>
            </w:r>
          </w:p>
        </w:tc>
        <w:tc>
          <w:tcPr>
            <w:tcW w:w="992" w:type="dxa"/>
            <w:shd w:val="clear" w:color="auto" w:fill="auto"/>
            <w:noWrap/>
            <w:vAlign w:val="bottom"/>
            <w:hideMark/>
          </w:tcPr>
          <w:p w:rsidR="0020499E" w:rsidRDefault="008E27E1">
            <w:pPr>
              <w:jc w:val="center"/>
              <w:rPr>
                <w:rFonts w:eastAsia="Times New Roman"/>
                <w:color w:val="000000"/>
              </w:rPr>
            </w:pPr>
            <w:r>
              <w:rPr>
                <w:rFonts w:eastAsia="Times New Roman"/>
                <w:color w:val="000000"/>
              </w:rPr>
              <w:t>29</w:t>
            </w:r>
          </w:p>
        </w:tc>
      </w:tr>
      <w:tr w:rsidR="0020499E">
        <w:trPr>
          <w:trHeight w:val="288"/>
        </w:trPr>
        <w:tc>
          <w:tcPr>
            <w:tcW w:w="4835" w:type="dxa"/>
            <w:shd w:val="clear" w:color="auto" w:fill="auto"/>
            <w:noWrap/>
            <w:vAlign w:val="bottom"/>
            <w:hideMark/>
          </w:tcPr>
          <w:p w:rsidR="0020499E" w:rsidRDefault="008E27E1">
            <w:pPr>
              <w:rPr>
                <w:rFonts w:eastAsia="Times New Roman"/>
                <w:color w:val="000000"/>
              </w:rPr>
            </w:pPr>
            <w:r>
              <w:rPr>
                <w:rFonts w:eastAsia="Times New Roman"/>
                <w:color w:val="000000"/>
              </w:rPr>
              <w:t>Physics</w:t>
            </w:r>
          </w:p>
        </w:tc>
        <w:tc>
          <w:tcPr>
            <w:tcW w:w="992" w:type="dxa"/>
            <w:shd w:val="clear" w:color="auto" w:fill="auto"/>
            <w:noWrap/>
            <w:vAlign w:val="bottom"/>
            <w:hideMark/>
          </w:tcPr>
          <w:p w:rsidR="0020499E" w:rsidRDefault="008E27E1">
            <w:pPr>
              <w:jc w:val="center"/>
              <w:rPr>
                <w:rFonts w:eastAsia="Times New Roman"/>
                <w:color w:val="000000"/>
              </w:rPr>
            </w:pPr>
            <w:r>
              <w:rPr>
                <w:rFonts w:eastAsia="Times New Roman"/>
                <w:color w:val="000000"/>
              </w:rPr>
              <w:t>121</w:t>
            </w:r>
          </w:p>
        </w:tc>
      </w:tr>
      <w:tr w:rsidR="0020499E">
        <w:trPr>
          <w:trHeight w:val="288"/>
        </w:trPr>
        <w:tc>
          <w:tcPr>
            <w:tcW w:w="4835" w:type="dxa"/>
            <w:shd w:val="clear" w:color="auto" w:fill="auto"/>
            <w:noWrap/>
            <w:vAlign w:val="bottom"/>
            <w:hideMark/>
          </w:tcPr>
          <w:p w:rsidR="0020499E" w:rsidRDefault="008E27E1">
            <w:pPr>
              <w:rPr>
                <w:rFonts w:eastAsia="Times New Roman"/>
                <w:color w:val="000000"/>
              </w:rPr>
            </w:pPr>
            <w:r>
              <w:rPr>
                <w:rFonts w:eastAsia="Times New Roman"/>
                <w:color w:val="000000"/>
              </w:rPr>
              <w:t>Social Sciences</w:t>
            </w:r>
          </w:p>
        </w:tc>
        <w:tc>
          <w:tcPr>
            <w:tcW w:w="992" w:type="dxa"/>
            <w:shd w:val="clear" w:color="auto" w:fill="auto"/>
            <w:noWrap/>
            <w:vAlign w:val="bottom"/>
            <w:hideMark/>
          </w:tcPr>
          <w:p w:rsidR="0020499E" w:rsidRDefault="008E27E1">
            <w:pPr>
              <w:jc w:val="center"/>
              <w:rPr>
                <w:rFonts w:eastAsia="Times New Roman"/>
                <w:color w:val="000000"/>
              </w:rPr>
            </w:pPr>
            <w:r>
              <w:rPr>
                <w:rFonts w:eastAsia="Times New Roman"/>
                <w:color w:val="000000"/>
              </w:rPr>
              <w:t>101</w:t>
            </w:r>
          </w:p>
        </w:tc>
      </w:tr>
      <w:tr w:rsidR="0020499E">
        <w:trPr>
          <w:trHeight w:val="288"/>
        </w:trPr>
        <w:tc>
          <w:tcPr>
            <w:tcW w:w="4835" w:type="dxa"/>
            <w:shd w:val="clear" w:color="auto" w:fill="auto"/>
            <w:noWrap/>
            <w:vAlign w:val="bottom"/>
            <w:hideMark/>
          </w:tcPr>
          <w:p w:rsidR="0020499E" w:rsidRDefault="008E27E1">
            <w:pPr>
              <w:rPr>
                <w:rFonts w:eastAsia="Times New Roman"/>
                <w:b/>
                <w:color w:val="000000"/>
              </w:rPr>
            </w:pPr>
            <w:r>
              <w:rPr>
                <w:rFonts w:eastAsia="Times New Roman"/>
                <w:b/>
                <w:color w:val="000000"/>
              </w:rPr>
              <w:t>Grand Total</w:t>
            </w:r>
          </w:p>
        </w:tc>
        <w:tc>
          <w:tcPr>
            <w:tcW w:w="992" w:type="dxa"/>
            <w:shd w:val="clear" w:color="auto" w:fill="auto"/>
            <w:noWrap/>
            <w:vAlign w:val="bottom"/>
            <w:hideMark/>
          </w:tcPr>
          <w:p w:rsidR="0020499E" w:rsidRDefault="008E27E1">
            <w:pPr>
              <w:jc w:val="center"/>
              <w:rPr>
                <w:rFonts w:eastAsia="Times New Roman"/>
                <w:b/>
                <w:color w:val="000000"/>
              </w:rPr>
            </w:pPr>
            <w:r>
              <w:rPr>
                <w:rFonts w:eastAsia="Times New Roman"/>
                <w:b/>
                <w:color w:val="000000"/>
              </w:rPr>
              <w:t>2175</w:t>
            </w:r>
          </w:p>
        </w:tc>
      </w:tr>
    </w:tbl>
    <w:p w:rsidR="0020499E" w:rsidRDefault="0020499E">
      <w:pPr>
        <w:ind w:firstLine="720"/>
      </w:pPr>
    </w:p>
    <w:p w:rsidR="0020499E" w:rsidRDefault="008E27E1">
      <w:pPr>
        <w:pStyle w:val="Heading2"/>
      </w:pPr>
      <w:bookmarkStart w:id="53" w:name="_Toc389396940"/>
      <w:r>
        <w:lastRenderedPageBreak/>
        <w:t>Annex 3: R&amp;D related indicators per country in selected areas</w:t>
      </w:r>
      <w:bookmarkEnd w:id="53"/>
    </w:p>
    <w:p w:rsidR="0020499E" w:rsidRDefault="008E27E1">
      <w:pPr>
        <w:pStyle w:val="NoSpacing"/>
        <w:rPr>
          <w:b/>
          <w:sz w:val="28"/>
        </w:rPr>
      </w:pPr>
      <w:r>
        <w:rPr>
          <w:b/>
          <w:sz w:val="28"/>
        </w:rPr>
        <w:t>(Global Competitiveness Report)</w:t>
      </w:r>
    </w:p>
    <w:p w:rsidR="0020499E" w:rsidRDefault="0020499E"/>
    <w:tbl>
      <w:tblPr>
        <w:tblW w:w="9796" w:type="dxa"/>
        <w:tblInd w:w="93" w:type="dxa"/>
        <w:tblLayout w:type="fixed"/>
        <w:tblLook w:val="04A0"/>
      </w:tblPr>
      <w:tblGrid>
        <w:gridCol w:w="3134"/>
        <w:gridCol w:w="1134"/>
        <w:gridCol w:w="1276"/>
        <w:gridCol w:w="1275"/>
        <w:gridCol w:w="1418"/>
        <w:gridCol w:w="1559"/>
      </w:tblGrid>
      <w:tr w:rsidR="0020499E">
        <w:trPr>
          <w:trHeight w:val="816"/>
        </w:trPr>
        <w:tc>
          <w:tcPr>
            <w:tcW w:w="3134" w:type="dxa"/>
            <w:tcBorders>
              <w:top w:val="single" w:sz="4" w:space="0" w:color="auto"/>
              <w:left w:val="single" w:sz="4" w:space="0" w:color="auto"/>
              <w:bottom w:val="single" w:sz="4" w:space="0" w:color="auto"/>
              <w:right w:val="single" w:sz="4" w:space="0" w:color="auto"/>
            </w:tcBorders>
            <w:shd w:val="clear" w:color="000000" w:fill="0F243E"/>
            <w:vAlign w:val="bottom"/>
            <w:hideMark/>
          </w:tcPr>
          <w:p w:rsidR="0020499E" w:rsidRDefault="008E27E1">
            <w:pPr>
              <w:rPr>
                <w:b/>
              </w:rPr>
            </w:pPr>
            <w:r>
              <w:rPr>
                <w:b/>
              </w:rPr>
              <w:t>FACTORS OF SUPPLY FOR R&amp;D IN CEE COUNTRIES</w:t>
            </w:r>
          </w:p>
        </w:tc>
        <w:tc>
          <w:tcPr>
            <w:tcW w:w="1134" w:type="dxa"/>
            <w:tcBorders>
              <w:top w:val="single" w:sz="4" w:space="0" w:color="auto"/>
              <w:left w:val="nil"/>
              <w:bottom w:val="single" w:sz="4" w:space="0" w:color="auto"/>
              <w:right w:val="single" w:sz="4" w:space="0" w:color="auto"/>
            </w:tcBorders>
            <w:shd w:val="clear" w:color="000000" w:fill="0F243E"/>
            <w:vAlign w:val="center"/>
            <w:hideMark/>
          </w:tcPr>
          <w:p w:rsidR="0020499E" w:rsidRDefault="008E27E1">
            <w:pPr>
              <w:rPr>
                <w:sz w:val="18"/>
                <w:szCs w:val="16"/>
              </w:rPr>
            </w:pPr>
            <w:r>
              <w:rPr>
                <w:sz w:val="18"/>
                <w:szCs w:val="16"/>
              </w:rPr>
              <w:t>Quality of education system</w:t>
            </w:r>
          </w:p>
        </w:tc>
        <w:tc>
          <w:tcPr>
            <w:tcW w:w="1276" w:type="dxa"/>
            <w:tcBorders>
              <w:top w:val="single" w:sz="4" w:space="0" w:color="auto"/>
              <w:left w:val="nil"/>
              <w:bottom w:val="single" w:sz="4" w:space="0" w:color="auto"/>
              <w:right w:val="single" w:sz="4" w:space="0" w:color="auto"/>
            </w:tcBorders>
            <w:shd w:val="clear" w:color="000000" w:fill="0F243E"/>
            <w:vAlign w:val="center"/>
            <w:hideMark/>
          </w:tcPr>
          <w:p w:rsidR="0020499E" w:rsidRDefault="008E27E1">
            <w:pPr>
              <w:rPr>
                <w:sz w:val="18"/>
                <w:szCs w:val="16"/>
              </w:rPr>
            </w:pPr>
            <w:r>
              <w:rPr>
                <w:sz w:val="18"/>
                <w:szCs w:val="16"/>
              </w:rPr>
              <w:t>Quality of maths and science teaching</w:t>
            </w:r>
          </w:p>
        </w:tc>
        <w:tc>
          <w:tcPr>
            <w:tcW w:w="1275" w:type="dxa"/>
            <w:tcBorders>
              <w:top w:val="single" w:sz="4" w:space="0" w:color="auto"/>
              <w:left w:val="nil"/>
              <w:bottom w:val="single" w:sz="4" w:space="0" w:color="auto"/>
              <w:right w:val="single" w:sz="4" w:space="0" w:color="auto"/>
            </w:tcBorders>
            <w:shd w:val="clear" w:color="000000" w:fill="0F243E"/>
            <w:vAlign w:val="center"/>
            <w:hideMark/>
          </w:tcPr>
          <w:p w:rsidR="0020499E" w:rsidRDefault="008E27E1">
            <w:pPr>
              <w:rPr>
                <w:sz w:val="18"/>
                <w:szCs w:val="16"/>
              </w:rPr>
            </w:pPr>
            <w:r>
              <w:rPr>
                <w:sz w:val="18"/>
                <w:szCs w:val="16"/>
              </w:rPr>
              <w:t>Quality of scientific research institutions</w:t>
            </w:r>
          </w:p>
        </w:tc>
        <w:tc>
          <w:tcPr>
            <w:tcW w:w="1418" w:type="dxa"/>
            <w:tcBorders>
              <w:top w:val="single" w:sz="4" w:space="0" w:color="auto"/>
              <w:left w:val="nil"/>
              <w:bottom w:val="single" w:sz="4" w:space="0" w:color="auto"/>
              <w:right w:val="single" w:sz="4" w:space="0" w:color="auto"/>
            </w:tcBorders>
            <w:shd w:val="clear" w:color="000000" w:fill="0F243E"/>
            <w:vAlign w:val="center"/>
            <w:hideMark/>
          </w:tcPr>
          <w:p w:rsidR="0020499E" w:rsidRDefault="008E27E1">
            <w:pPr>
              <w:rPr>
                <w:sz w:val="18"/>
                <w:szCs w:val="16"/>
              </w:rPr>
            </w:pPr>
            <w:r>
              <w:rPr>
                <w:sz w:val="18"/>
                <w:szCs w:val="16"/>
              </w:rPr>
              <w:t>Availability of scientists and engineers</w:t>
            </w:r>
          </w:p>
        </w:tc>
        <w:tc>
          <w:tcPr>
            <w:tcW w:w="1559" w:type="dxa"/>
            <w:tcBorders>
              <w:top w:val="single" w:sz="4" w:space="0" w:color="auto"/>
              <w:left w:val="nil"/>
              <w:bottom w:val="single" w:sz="4" w:space="0" w:color="auto"/>
              <w:right w:val="single" w:sz="4" w:space="0" w:color="auto"/>
            </w:tcBorders>
            <w:shd w:val="clear" w:color="000000" w:fill="0F243E"/>
            <w:vAlign w:val="center"/>
            <w:hideMark/>
          </w:tcPr>
          <w:p w:rsidR="0020499E" w:rsidRDefault="008E27E1">
            <w:pPr>
              <w:rPr>
                <w:sz w:val="18"/>
                <w:szCs w:val="16"/>
              </w:rPr>
            </w:pPr>
            <w:r>
              <w:rPr>
                <w:sz w:val="18"/>
                <w:szCs w:val="16"/>
              </w:rPr>
              <w:t>PCT patents million population / Utility patents</w:t>
            </w:r>
          </w:p>
        </w:tc>
      </w:tr>
      <w:tr w:rsidR="0020499E">
        <w:trPr>
          <w:trHeight w:val="259"/>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Albania 2008-2009</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80</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62</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133</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115</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88</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Albania 2012-2013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40</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61</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132</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123</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119</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xml:space="preserve">Armenia </w:t>
            </w:r>
            <w:r>
              <w:rPr>
                <w:sz w:val="16"/>
                <w:szCs w:val="16"/>
              </w:rPr>
              <w:t>2008-2009</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98</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76</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101</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90</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63</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Armenia 2012-2013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71</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111</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73</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61</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Azerbaijan 2008-2009</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78</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92</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40</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28</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67</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Azerbaijan 2012-2013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99</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65</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44</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79</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Bosnia &amp; Herzegovina 2008-2009</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92</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107</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128</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100</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88</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Bosnia &amp; Herzegovina 2012-2013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106</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21</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72</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48</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50</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Croatia 2008-2009</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66</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30</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50</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58</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35</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Croatia 2012-2013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26</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48</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86</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33</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Estonia 2008-2009</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30</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14</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25</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74</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30</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Estonia 2012-2013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19</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25</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69</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26</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Georgia 2008-2009</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83</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75</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113</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84</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44</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Georgia 2012-2013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114</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101</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125</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124</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60</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Kazakhstan 2008-2009</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68</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80</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58</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83</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72</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Kazakhstan 2012-2013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101</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81</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108</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104</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65</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Kyrgizstan 2008-2009</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74</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84</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123</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116</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88</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Kyrgizstan 2012-2013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123</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114</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140</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135</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102</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Latvia 2008-2009</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63</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57</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88</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112</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59</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Latvia 2012-2013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74</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48</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58</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110</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30</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Lithuania 2008-2009</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64</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22</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46</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65</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43</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Lithuania 2012-2013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54</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16</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32</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59</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39</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Macedonia 2008-2009</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65</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52</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95</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70</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88</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Macedonia 2012-2013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38</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67</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100</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106</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59</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Montenegro 2008-2009</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57</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34</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92</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71</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88</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Montenegro 2012-2013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38</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44</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54</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76</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119</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Romania 2008-2009</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71</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18</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84</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60</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55</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Romania 2012-2013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108</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55</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84</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82</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56</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Russia 2008-2009</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36</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24</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45</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34</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41</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Russia 2012-2013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86</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52</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70</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90</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90</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Serbia 2008-2009</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31</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49</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50</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49</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Serbia 2012-2013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108</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55</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84</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82</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56</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Slovenia 2008-2009</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35</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28</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28</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85</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26</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Slovenia 2012-2013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63</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18</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29</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84</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23</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Tajikistan 2008-2009</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96</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113</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68</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98</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88</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Tajikistan 2012-2013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67</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91</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76</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83</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119</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Ukraine 2008-2009</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40</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32</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48</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54</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65</w:t>
            </w:r>
          </w:p>
        </w:tc>
      </w:tr>
      <w:tr w:rsidR="0020499E">
        <w:trPr>
          <w:trHeight w:val="288"/>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Ukraine</w:t>
            </w:r>
            <w:r>
              <w:rPr>
                <w:sz w:val="16"/>
                <w:szCs w:val="16"/>
              </w:rPr>
              <w:t xml:space="preserve"> 2012-2013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70</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34</w:t>
            </w:r>
          </w:p>
        </w:tc>
        <w:tc>
          <w:tcPr>
            <w:tcW w:w="1275"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64</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25</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51</w:t>
            </w:r>
          </w:p>
        </w:tc>
      </w:tr>
    </w:tbl>
    <w:p w:rsidR="0020499E" w:rsidRDefault="0020499E"/>
    <w:tbl>
      <w:tblPr>
        <w:tblW w:w="9938" w:type="dxa"/>
        <w:tblInd w:w="93" w:type="dxa"/>
        <w:tblLayout w:type="fixed"/>
        <w:tblLook w:val="04A0"/>
      </w:tblPr>
      <w:tblGrid>
        <w:gridCol w:w="2142"/>
        <w:gridCol w:w="850"/>
        <w:gridCol w:w="1276"/>
        <w:gridCol w:w="1134"/>
        <w:gridCol w:w="992"/>
        <w:gridCol w:w="1134"/>
        <w:gridCol w:w="1418"/>
        <w:gridCol w:w="992"/>
      </w:tblGrid>
      <w:tr w:rsidR="0020499E">
        <w:trPr>
          <w:trHeight w:val="1020"/>
        </w:trPr>
        <w:tc>
          <w:tcPr>
            <w:tcW w:w="2142" w:type="dxa"/>
            <w:tcBorders>
              <w:top w:val="single" w:sz="4" w:space="0" w:color="auto"/>
              <w:left w:val="single" w:sz="4" w:space="0" w:color="auto"/>
              <w:bottom w:val="single" w:sz="4" w:space="0" w:color="auto"/>
              <w:right w:val="single" w:sz="4" w:space="0" w:color="auto"/>
            </w:tcBorders>
            <w:shd w:val="clear" w:color="000000" w:fill="0F243E"/>
            <w:vAlign w:val="bottom"/>
            <w:hideMark/>
          </w:tcPr>
          <w:p w:rsidR="0020499E" w:rsidRDefault="008E27E1">
            <w:pPr>
              <w:jc w:val="center"/>
              <w:rPr>
                <w:b/>
              </w:rPr>
            </w:pPr>
            <w:r>
              <w:rPr>
                <w:b/>
              </w:rPr>
              <w:lastRenderedPageBreak/>
              <w:t>FACTORS OF DEMAND  FOR R&amp;D IN EE COUNTRIES</w:t>
            </w:r>
          </w:p>
        </w:tc>
        <w:tc>
          <w:tcPr>
            <w:tcW w:w="850" w:type="dxa"/>
            <w:tcBorders>
              <w:top w:val="single" w:sz="4" w:space="0" w:color="auto"/>
              <w:left w:val="nil"/>
              <w:bottom w:val="single" w:sz="4" w:space="0" w:color="auto"/>
              <w:right w:val="single" w:sz="4" w:space="0" w:color="auto"/>
            </w:tcBorders>
            <w:shd w:val="clear" w:color="000000" w:fill="0F243E"/>
            <w:vAlign w:val="center"/>
            <w:hideMark/>
          </w:tcPr>
          <w:p w:rsidR="0020499E" w:rsidRDefault="008E27E1">
            <w:pPr>
              <w:ind w:left="-108" w:right="-108"/>
              <w:jc w:val="center"/>
              <w:rPr>
                <w:sz w:val="18"/>
                <w:szCs w:val="18"/>
              </w:rPr>
            </w:pPr>
            <w:r>
              <w:rPr>
                <w:sz w:val="18"/>
                <w:szCs w:val="18"/>
              </w:rPr>
              <w:t>Extent of staff training</w:t>
            </w:r>
          </w:p>
        </w:tc>
        <w:tc>
          <w:tcPr>
            <w:tcW w:w="1276" w:type="dxa"/>
            <w:tcBorders>
              <w:top w:val="single" w:sz="4" w:space="0" w:color="auto"/>
              <w:left w:val="nil"/>
              <w:bottom w:val="single" w:sz="4" w:space="0" w:color="auto"/>
              <w:right w:val="single" w:sz="4" w:space="0" w:color="auto"/>
            </w:tcBorders>
            <w:shd w:val="clear" w:color="000000" w:fill="0F243E"/>
            <w:vAlign w:val="center"/>
            <w:hideMark/>
          </w:tcPr>
          <w:p w:rsidR="0020499E" w:rsidRDefault="008E27E1">
            <w:pPr>
              <w:ind w:left="-108" w:right="-108"/>
              <w:jc w:val="center"/>
              <w:rPr>
                <w:sz w:val="18"/>
                <w:szCs w:val="18"/>
              </w:rPr>
            </w:pPr>
            <w:r>
              <w:rPr>
                <w:sz w:val="18"/>
                <w:szCs w:val="18"/>
              </w:rPr>
              <w:t>Firm level technology absorption</w:t>
            </w:r>
          </w:p>
        </w:tc>
        <w:tc>
          <w:tcPr>
            <w:tcW w:w="1134" w:type="dxa"/>
            <w:tcBorders>
              <w:top w:val="single" w:sz="4" w:space="0" w:color="auto"/>
              <w:left w:val="nil"/>
              <w:bottom w:val="single" w:sz="4" w:space="0" w:color="auto"/>
              <w:right w:val="single" w:sz="4" w:space="0" w:color="auto"/>
            </w:tcBorders>
            <w:shd w:val="clear" w:color="000000" w:fill="0F243E"/>
            <w:vAlign w:val="center"/>
            <w:hideMark/>
          </w:tcPr>
          <w:p w:rsidR="0020499E" w:rsidRDefault="008E27E1">
            <w:pPr>
              <w:ind w:left="-108" w:right="-108"/>
              <w:jc w:val="center"/>
              <w:rPr>
                <w:sz w:val="18"/>
                <w:szCs w:val="18"/>
              </w:rPr>
            </w:pPr>
            <w:r>
              <w:rPr>
                <w:sz w:val="18"/>
                <w:szCs w:val="18"/>
              </w:rPr>
              <w:t>Production process sophisti-cation</w:t>
            </w:r>
          </w:p>
        </w:tc>
        <w:tc>
          <w:tcPr>
            <w:tcW w:w="992" w:type="dxa"/>
            <w:tcBorders>
              <w:top w:val="single" w:sz="4" w:space="0" w:color="auto"/>
              <w:left w:val="nil"/>
              <w:bottom w:val="single" w:sz="4" w:space="0" w:color="auto"/>
              <w:right w:val="single" w:sz="4" w:space="0" w:color="auto"/>
            </w:tcBorders>
            <w:shd w:val="clear" w:color="000000" w:fill="0F243E"/>
            <w:vAlign w:val="center"/>
            <w:hideMark/>
          </w:tcPr>
          <w:p w:rsidR="0020499E" w:rsidRDefault="008E27E1">
            <w:pPr>
              <w:ind w:left="-108" w:right="-108"/>
              <w:jc w:val="center"/>
              <w:rPr>
                <w:sz w:val="18"/>
                <w:szCs w:val="18"/>
              </w:rPr>
            </w:pPr>
            <w:r>
              <w:rPr>
                <w:sz w:val="18"/>
                <w:szCs w:val="18"/>
              </w:rPr>
              <w:t>Buyer sophisti-cation</w:t>
            </w:r>
          </w:p>
        </w:tc>
        <w:tc>
          <w:tcPr>
            <w:tcW w:w="1134" w:type="dxa"/>
            <w:tcBorders>
              <w:top w:val="single" w:sz="4" w:space="0" w:color="auto"/>
              <w:left w:val="nil"/>
              <w:bottom w:val="single" w:sz="4" w:space="0" w:color="auto"/>
              <w:right w:val="single" w:sz="4" w:space="0" w:color="auto"/>
            </w:tcBorders>
            <w:shd w:val="clear" w:color="000000" w:fill="0F243E"/>
            <w:vAlign w:val="center"/>
            <w:hideMark/>
          </w:tcPr>
          <w:p w:rsidR="0020499E" w:rsidRDefault="008E27E1">
            <w:pPr>
              <w:ind w:left="-108" w:right="-108"/>
              <w:jc w:val="center"/>
              <w:rPr>
                <w:sz w:val="18"/>
                <w:szCs w:val="18"/>
              </w:rPr>
            </w:pPr>
            <w:r>
              <w:rPr>
                <w:sz w:val="18"/>
                <w:szCs w:val="18"/>
              </w:rPr>
              <w:t>Company spending on R&amp;D</w:t>
            </w:r>
          </w:p>
        </w:tc>
        <w:tc>
          <w:tcPr>
            <w:tcW w:w="1418" w:type="dxa"/>
            <w:tcBorders>
              <w:top w:val="single" w:sz="4" w:space="0" w:color="auto"/>
              <w:left w:val="nil"/>
              <w:bottom w:val="single" w:sz="4" w:space="0" w:color="auto"/>
              <w:right w:val="single" w:sz="4" w:space="0" w:color="auto"/>
            </w:tcBorders>
            <w:shd w:val="clear" w:color="000000" w:fill="0F243E"/>
            <w:vAlign w:val="center"/>
            <w:hideMark/>
          </w:tcPr>
          <w:p w:rsidR="0020499E" w:rsidRDefault="008E27E1">
            <w:pPr>
              <w:ind w:left="-108" w:right="-108"/>
              <w:jc w:val="center"/>
              <w:rPr>
                <w:sz w:val="18"/>
                <w:szCs w:val="18"/>
              </w:rPr>
            </w:pPr>
            <w:r>
              <w:rPr>
                <w:sz w:val="18"/>
                <w:szCs w:val="18"/>
              </w:rPr>
              <w:t xml:space="preserve">Government procurement of advanced </w:t>
            </w:r>
            <w:r>
              <w:rPr>
                <w:sz w:val="18"/>
                <w:szCs w:val="18"/>
              </w:rPr>
              <w:t>technological products</w:t>
            </w:r>
          </w:p>
        </w:tc>
        <w:tc>
          <w:tcPr>
            <w:tcW w:w="992" w:type="dxa"/>
            <w:tcBorders>
              <w:top w:val="single" w:sz="4" w:space="0" w:color="auto"/>
              <w:left w:val="nil"/>
              <w:bottom w:val="single" w:sz="4" w:space="0" w:color="auto"/>
              <w:right w:val="single" w:sz="4" w:space="0" w:color="auto"/>
            </w:tcBorders>
            <w:shd w:val="clear" w:color="000000" w:fill="0F243E"/>
            <w:vAlign w:val="center"/>
            <w:hideMark/>
          </w:tcPr>
          <w:p w:rsidR="0020499E" w:rsidRDefault="008E27E1">
            <w:pPr>
              <w:ind w:left="-108" w:right="-108"/>
              <w:jc w:val="center"/>
              <w:rPr>
                <w:sz w:val="18"/>
                <w:szCs w:val="18"/>
              </w:rPr>
            </w:pPr>
            <w:r>
              <w:rPr>
                <w:sz w:val="18"/>
                <w:szCs w:val="18"/>
              </w:rPr>
              <w:t>Capacity for innova-tion</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Albania 2008-2009</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71</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110</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93</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109</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133</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119</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134</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Albania 2012-2013</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36</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80</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60</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62</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83</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46</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128</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Armenia 2008-2009</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117</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109</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103</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88</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96</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122</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68</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Armenia 2012-2013</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98</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96</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84</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64</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111</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108</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62</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Azerbaijan 2008-2009</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52</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47</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90</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67</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23</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39</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Azerbaijan 2012-2013</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27</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13</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50</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Bosnia &amp; Herzegovina 2008-2009</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126</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133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123</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119</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119</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131</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126</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Bosnia &amp; Herzegovina 2012-2013</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105</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90</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124</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90</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94</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101</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Croatia 2008-2009</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64</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100</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60</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82</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45</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69</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42</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Croatia 2012-2013</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124</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77</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104</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116</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76</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129</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72</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Estonia 2008-2009</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35</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30</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39</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56</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40</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18</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40</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Estonia 2012-2013</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46</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34</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45</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42</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35</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33</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Georgia 2008-2009</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73</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108</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84</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86</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93</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121</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97</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Georgia 2012-2013</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101</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112</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106</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125</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61</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116</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Kazakhstan 2008-2009</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92</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85</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52</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75</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62</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59</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50</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Kazakhstan 2012-2013</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72</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91</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76</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36</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94</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71</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92</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Kyrgizstan 2008-2009</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102</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121</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98</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118</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127</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90</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Kyrgizstan 2012-2013</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128</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136</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133</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97</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141</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138</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140</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Latvia 2008-2009</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62</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81</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65</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80</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72</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100</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71</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Latvia 2012-2013</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53</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90</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66</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67</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85</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49</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Lithuania 2008-2009</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38</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58</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64</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67</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48</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83</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52</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Lithuania 2012-2013</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66</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50</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109</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64</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96</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47</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Macedonia 2008-2009</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83</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131</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105</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104</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98</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111</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83</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Macedonia 2012-2013</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126</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133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111</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133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123</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102</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99</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Montenegro 2008-2009</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84</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91</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83</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76</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67</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120</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Montenegro 2012-2013</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51</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100</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89</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88</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63</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76</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53</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Romania 2008-2009</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54</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94</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73</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71</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74</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73</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58</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Romania 2012-2013</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111</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116</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103</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102</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87</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114</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77</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Russia 2008-2009</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80</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105</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66</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74</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46</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66</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45</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Russia 2012-2013</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129</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113</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61</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79</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124</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56</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Serbia 2008-2009</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121</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126</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114</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102</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97</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92</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92</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Serbia 2012-2013</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138</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142</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129</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138</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132</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115</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120</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Slovenia 2008-2009</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43</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60</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34</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45</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27</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89</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20</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Slovenia 2012-2013</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91</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78</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49</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108</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47</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106</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31</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Tajikistan 2008-2009</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105</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119</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76</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111</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107</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61</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61</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Tajikistan 2012-2013</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95</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72</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44</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65</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26</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51</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Ukraine 2008-2009</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80</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53</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81</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52</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54</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31</w:t>
            </w:r>
          </w:p>
        </w:tc>
      </w:tr>
      <w:tr w:rsidR="0020499E">
        <w:trPr>
          <w:trHeight w:val="288"/>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Ukraine 2012-2013</w:t>
            </w:r>
          </w:p>
        </w:tc>
        <w:tc>
          <w:tcPr>
            <w:tcW w:w="85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106</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69</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80</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73</w:t>
            </w:r>
          </w:p>
        </w:tc>
        <w:tc>
          <w:tcPr>
            <w:tcW w:w="1134"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104</w:t>
            </w:r>
          </w:p>
        </w:tc>
        <w:tc>
          <w:tcPr>
            <w:tcW w:w="1418"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97</w:t>
            </w:r>
          </w:p>
        </w:tc>
        <w:tc>
          <w:tcPr>
            <w:tcW w:w="992"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59</w:t>
            </w:r>
          </w:p>
        </w:tc>
      </w:tr>
    </w:tbl>
    <w:p w:rsidR="0020499E" w:rsidRDefault="008E27E1">
      <w:r>
        <w:br w:type="page"/>
      </w:r>
    </w:p>
    <w:tbl>
      <w:tblPr>
        <w:tblW w:w="9938" w:type="dxa"/>
        <w:tblInd w:w="93" w:type="dxa"/>
        <w:tblLayout w:type="fixed"/>
        <w:tblLook w:val="04A0"/>
      </w:tblPr>
      <w:tblGrid>
        <w:gridCol w:w="2283"/>
        <w:gridCol w:w="1276"/>
        <w:gridCol w:w="1559"/>
        <w:gridCol w:w="1560"/>
        <w:gridCol w:w="1559"/>
        <w:gridCol w:w="1701"/>
      </w:tblGrid>
      <w:tr w:rsidR="0020499E">
        <w:trPr>
          <w:trHeight w:val="288"/>
        </w:trPr>
        <w:tc>
          <w:tcPr>
            <w:tcW w:w="2283" w:type="dxa"/>
            <w:tcBorders>
              <w:top w:val="nil"/>
              <w:left w:val="nil"/>
              <w:bottom w:val="nil"/>
              <w:right w:val="nil"/>
            </w:tcBorders>
            <w:shd w:val="clear" w:color="000000" w:fill="0F243E"/>
            <w:noWrap/>
            <w:vAlign w:val="bottom"/>
            <w:hideMark/>
          </w:tcPr>
          <w:p w:rsidR="0020499E" w:rsidRDefault="008E27E1">
            <w:pPr>
              <w:jc w:val="center"/>
              <w:rPr>
                <w:b/>
                <w:sz w:val="18"/>
                <w:szCs w:val="18"/>
              </w:rPr>
            </w:pPr>
            <w:r>
              <w:rPr>
                <w:b/>
                <w:szCs w:val="18"/>
              </w:rPr>
              <w:lastRenderedPageBreak/>
              <w:t>Countries</w:t>
            </w:r>
          </w:p>
        </w:tc>
        <w:tc>
          <w:tcPr>
            <w:tcW w:w="1276" w:type="dxa"/>
            <w:tcBorders>
              <w:top w:val="nil"/>
              <w:left w:val="nil"/>
              <w:bottom w:val="nil"/>
              <w:right w:val="nil"/>
            </w:tcBorders>
            <w:shd w:val="clear" w:color="000000" w:fill="0F243E"/>
            <w:noWrap/>
            <w:vAlign w:val="bottom"/>
            <w:hideMark/>
          </w:tcPr>
          <w:p w:rsidR="0020499E" w:rsidRDefault="008E27E1">
            <w:pPr>
              <w:jc w:val="center"/>
              <w:rPr>
                <w:sz w:val="16"/>
                <w:szCs w:val="16"/>
              </w:rPr>
            </w:pPr>
            <w:r>
              <w:rPr>
                <w:sz w:val="16"/>
                <w:szCs w:val="16"/>
              </w:rPr>
              <w:t>Factor driven</w:t>
            </w:r>
          </w:p>
        </w:tc>
        <w:tc>
          <w:tcPr>
            <w:tcW w:w="1559" w:type="dxa"/>
            <w:tcBorders>
              <w:top w:val="nil"/>
              <w:left w:val="nil"/>
              <w:bottom w:val="nil"/>
              <w:right w:val="nil"/>
            </w:tcBorders>
            <w:shd w:val="clear" w:color="000000" w:fill="0F243E"/>
            <w:noWrap/>
            <w:vAlign w:val="bottom"/>
            <w:hideMark/>
          </w:tcPr>
          <w:p w:rsidR="0020499E" w:rsidRDefault="008E27E1">
            <w:pPr>
              <w:jc w:val="center"/>
              <w:rPr>
                <w:sz w:val="16"/>
                <w:szCs w:val="16"/>
              </w:rPr>
            </w:pPr>
            <w:r>
              <w:rPr>
                <w:sz w:val="16"/>
                <w:szCs w:val="16"/>
              </w:rPr>
              <w:t>Transition from</w:t>
            </w:r>
          </w:p>
        </w:tc>
        <w:tc>
          <w:tcPr>
            <w:tcW w:w="1560" w:type="dxa"/>
            <w:tcBorders>
              <w:top w:val="nil"/>
              <w:left w:val="nil"/>
              <w:bottom w:val="nil"/>
              <w:right w:val="nil"/>
            </w:tcBorders>
            <w:shd w:val="clear" w:color="000000" w:fill="0F243E"/>
            <w:noWrap/>
            <w:vAlign w:val="bottom"/>
            <w:hideMark/>
          </w:tcPr>
          <w:p w:rsidR="0020499E" w:rsidRDefault="008E27E1">
            <w:pPr>
              <w:jc w:val="center"/>
              <w:rPr>
                <w:sz w:val="16"/>
                <w:szCs w:val="16"/>
              </w:rPr>
            </w:pPr>
            <w:r>
              <w:rPr>
                <w:sz w:val="16"/>
                <w:szCs w:val="16"/>
              </w:rPr>
              <w:t>Efficiency driven</w:t>
            </w:r>
          </w:p>
        </w:tc>
        <w:tc>
          <w:tcPr>
            <w:tcW w:w="1559" w:type="dxa"/>
            <w:tcBorders>
              <w:top w:val="nil"/>
              <w:left w:val="nil"/>
              <w:bottom w:val="nil"/>
              <w:right w:val="nil"/>
            </w:tcBorders>
            <w:shd w:val="clear" w:color="000000" w:fill="0F243E"/>
            <w:noWrap/>
            <w:vAlign w:val="bottom"/>
            <w:hideMark/>
          </w:tcPr>
          <w:p w:rsidR="0020499E" w:rsidRDefault="008E27E1">
            <w:pPr>
              <w:jc w:val="center"/>
              <w:rPr>
                <w:sz w:val="16"/>
                <w:szCs w:val="16"/>
              </w:rPr>
            </w:pPr>
            <w:r>
              <w:rPr>
                <w:sz w:val="16"/>
                <w:szCs w:val="16"/>
              </w:rPr>
              <w:t>Transition from</w:t>
            </w:r>
          </w:p>
        </w:tc>
        <w:tc>
          <w:tcPr>
            <w:tcW w:w="1701" w:type="dxa"/>
            <w:tcBorders>
              <w:top w:val="nil"/>
              <w:left w:val="nil"/>
              <w:bottom w:val="nil"/>
              <w:right w:val="nil"/>
            </w:tcBorders>
            <w:shd w:val="clear" w:color="000000" w:fill="0F243E"/>
            <w:noWrap/>
            <w:vAlign w:val="bottom"/>
            <w:hideMark/>
          </w:tcPr>
          <w:p w:rsidR="0020499E" w:rsidRDefault="008E27E1">
            <w:pPr>
              <w:jc w:val="center"/>
              <w:rPr>
                <w:sz w:val="16"/>
                <w:szCs w:val="16"/>
              </w:rPr>
            </w:pPr>
            <w:r>
              <w:rPr>
                <w:sz w:val="16"/>
                <w:szCs w:val="16"/>
              </w:rPr>
              <w:t>Innovation driven</w:t>
            </w:r>
          </w:p>
        </w:tc>
      </w:tr>
      <w:tr w:rsidR="0020499E">
        <w:trPr>
          <w:trHeight w:val="288"/>
        </w:trPr>
        <w:tc>
          <w:tcPr>
            <w:tcW w:w="2283" w:type="dxa"/>
            <w:tcBorders>
              <w:top w:val="nil"/>
              <w:left w:val="nil"/>
              <w:bottom w:val="nil"/>
              <w:right w:val="nil"/>
            </w:tcBorders>
            <w:shd w:val="clear" w:color="000000" w:fill="0F243E"/>
            <w:noWrap/>
            <w:vAlign w:val="bottom"/>
            <w:hideMark/>
          </w:tcPr>
          <w:p w:rsidR="0020499E" w:rsidRDefault="0020499E">
            <w:pPr>
              <w:jc w:val="center"/>
              <w:rPr>
                <w:sz w:val="18"/>
                <w:szCs w:val="18"/>
              </w:rPr>
            </w:pPr>
          </w:p>
        </w:tc>
        <w:tc>
          <w:tcPr>
            <w:tcW w:w="1276" w:type="dxa"/>
            <w:tcBorders>
              <w:top w:val="nil"/>
              <w:left w:val="nil"/>
              <w:bottom w:val="nil"/>
              <w:right w:val="nil"/>
            </w:tcBorders>
            <w:shd w:val="clear" w:color="000000" w:fill="0F243E"/>
            <w:noWrap/>
            <w:vAlign w:val="bottom"/>
            <w:hideMark/>
          </w:tcPr>
          <w:p w:rsidR="0020499E" w:rsidRDefault="008E27E1">
            <w:pPr>
              <w:jc w:val="center"/>
              <w:rPr>
                <w:sz w:val="16"/>
                <w:szCs w:val="16"/>
              </w:rPr>
            </w:pPr>
            <w:r>
              <w:rPr>
                <w:sz w:val="16"/>
                <w:szCs w:val="16"/>
              </w:rPr>
              <w:t>(FD) stage</w:t>
            </w:r>
          </w:p>
        </w:tc>
        <w:tc>
          <w:tcPr>
            <w:tcW w:w="1559" w:type="dxa"/>
            <w:tcBorders>
              <w:top w:val="nil"/>
              <w:left w:val="nil"/>
              <w:bottom w:val="nil"/>
              <w:right w:val="nil"/>
            </w:tcBorders>
            <w:shd w:val="clear" w:color="000000" w:fill="0F243E"/>
            <w:noWrap/>
            <w:vAlign w:val="bottom"/>
            <w:hideMark/>
          </w:tcPr>
          <w:p w:rsidR="0020499E" w:rsidRDefault="008E27E1">
            <w:pPr>
              <w:jc w:val="center"/>
              <w:rPr>
                <w:sz w:val="16"/>
                <w:szCs w:val="16"/>
              </w:rPr>
            </w:pPr>
            <w:r>
              <w:rPr>
                <w:sz w:val="16"/>
                <w:szCs w:val="16"/>
              </w:rPr>
              <w:t>FD to ED stage</w:t>
            </w:r>
          </w:p>
        </w:tc>
        <w:tc>
          <w:tcPr>
            <w:tcW w:w="1560" w:type="dxa"/>
            <w:tcBorders>
              <w:top w:val="nil"/>
              <w:left w:val="nil"/>
              <w:bottom w:val="nil"/>
              <w:right w:val="nil"/>
            </w:tcBorders>
            <w:shd w:val="clear" w:color="000000" w:fill="0F243E"/>
            <w:noWrap/>
            <w:vAlign w:val="bottom"/>
            <w:hideMark/>
          </w:tcPr>
          <w:p w:rsidR="0020499E" w:rsidRDefault="008E27E1">
            <w:pPr>
              <w:jc w:val="center"/>
              <w:rPr>
                <w:sz w:val="16"/>
                <w:szCs w:val="16"/>
              </w:rPr>
            </w:pPr>
            <w:r>
              <w:rPr>
                <w:sz w:val="16"/>
                <w:szCs w:val="16"/>
              </w:rPr>
              <w:t>(ED) stage</w:t>
            </w:r>
          </w:p>
        </w:tc>
        <w:tc>
          <w:tcPr>
            <w:tcW w:w="1559" w:type="dxa"/>
            <w:tcBorders>
              <w:top w:val="nil"/>
              <w:left w:val="nil"/>
              <w:bottom w:val="nil"/>
              <w:right w:val="nil"/>
            </w:tcBorders>
            <w:shd w:val="clear" w:color="000000" w:fill="0F243E"/>
            <w:noWrap/>
            <w:vAlign w:val="bottom"/>
            <w:hideMark/>
          </w:tcPr>
          <w:p w:rsidR="0020499E" w:rsidRDefault="008E27E1">
            <w:pPr>
              <w:jc w:val="center"/>
              <w:rPr>
                <w:sz w:val="16"/>
                <w:szCs w:val="16"/>
              </w:rPr>
            </w:pPr>
            <w:r>
              <w:rPr>
                <w:sz w:val="16"/>
                <w:szCs w:val="16"/>
              </w:rPr>
              <w:t>ED to ID stage</w:t>
            </w:r>
          </w:p>
        </w:tc>
        <w:tc>
          <w:tcPr>
            <w:tcW w:w="1701" w:type="dxa"/>
            <w:tcBorders>
              <w:top w:val="nil"/>
              <w:left w:val="nil"/>
              <w:bottom w:val="nil"/>
              <w:right w:val="nil"/>
            </w:tcBorders>
            <w:shd w:val="clear" w:color="000000" w:fill="0F243E"/>
            <w:noWrap/>
            <w:vAlign w:val="bottom"/>
            <w:hideMark/>
          </w:tcPr>
          <w:p w:rsidR="0020499E" w:rsidRDefault="008E27E1">
            <w:pPr>
              <w:jc w:val="center"/>
              <w:rPr>
                <w:sz w:val="16"/>
                <w:szCs w:val="16"/>
              </w:rPr>
            </w:pPr>
            <w:r>
              <w:rPr>
                <w:sz w:val="16"/>
                <w:szCs w:val="16"/>
              </w:rPr>
              <w:t>(ID) stage</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Albania 2008-2009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Albania 2012-2013</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Armenia 2008-2009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Armenia 2012-2013</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Azerbaijan 2008-2009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Azerbaijan 2012-2013</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Belarus 2008-2009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Belarus 2012-2013</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Bosnia &amp; Herzegovina 2008-2009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Bosnia &amp; Herzegovina 2012-2013</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Croatia 2008-2009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Croatia 2012-2013</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Estonia 2008-2009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Estonia 2012-2013</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Georgia 2008-2009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Georgia 2012-2013</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Kazakhstan 2008-2009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Kazakhstan 2012-2013</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Kyrgizstan 2008-2009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Kyrgizstan 2012-2013</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Latvia 2008-2009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xml:space="preserve">Latvia </w:t>
            </w:r>
            <w:r>
              <w:rPr>
                <w:sz w:val="16"/>
                <w:szCs w:val="16"/>
              </w:rPr>
              <w:t>2012-2013</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Lithuania 2008-2009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Lithuania 2012-2013</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Macedonia 2008-2009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Macedonia 2012-2013</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Montenegro 2008-2009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Montenegro 2012-2013</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Romania 2008-2009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Romania 2012-2013</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Russia 2008-2009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Russia 2012-2013</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Serbia 2008-2009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Serbia 2012-2013</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Slovenia 2008-2009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Slovenia 2012-2013</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Tajikistan 2008-2009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Tajikistan 2012-2013</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Turkmenistan 2008-2009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Turkmenistan 2012-2013</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Ukraine 2008-2009</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r w:rsidR="0020499E">
        <w:trPr>
          <w:trHeight w:val="272"/>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Ukraine 2012-2013</w:t>
            </w:r>
          </w:p>
        </w:tc>
        <w:tc>
          <w:tcPr>
            <w:tcW w:w="1276"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X</w:t>
            </w:r>
          </w:p>
        </w:tc>
        <w:tc>
          <w:tcPr>
            <w:tcW w:w="1559"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20499E" w:rsidRDefault="008E27E1">
            <w:pPr>
              <w:rPr>
                <w:sz w:val="16"/>
                <w:szCs w:val="16"/>
              </w:rPr>
            </w:pPr>
            <w:r>
              <w:rPr>
                <w:sz w:val="16"/>
                <w:szCs w:val="16"/>
              </w:rPr>
              <w:t> </w:t>
            </w:r>
          </w:p>
        </w:tc>
      </w:tr>
    </w:tbl>
    <w:p w:rsidR="0020499E" w:rsidRDefault="008E27E1">
      <w:pPr>
        <w:autoSpaceDE/>
        <w:autoSpaceDN/>
        <w:adjustRightInd/>
        <w:jc w:val="left"/>
        <w:rPr>
          <w:b/>
          <w:sz w:val="28"/>
          <w:szCs w:val="28"/>
        </w:rPr>
      </w:pPr>
      <w:r>
        <w:br w:type="page"/>
      </w:r>
    </w:p>
    <w:p w:rsidR="0020499E" w:rsidRDefault="008E27E1">
      <w:pPr>
        <w:pStyle w:val="Heading2"/>
      </w:pPr>
      <w:bookmarkStart w:id="54" w:name="_Toc389396941"/>
      <w:r>
        <w:lastRenderedPageBreak/>
        <w:t>Annex 4: Relative Specialization index (RSI): selected countries</w:t>
      </w:r>
      <w:bookmarkEnd w:id="54"/>
    </w:p>
    <w:p w:rsidR="0020499E" w:rsidRDefault="0020499E">
      <w:pPr>
        <w:ind w:right="-410"/>
        <w:rPr>
          <w:b/>
        </w:rPr>
      </w:pPr>
    </w:p>
    <w:p w:rsidR="0020499E" w:rsidRDefault="0020499E">
      <w:pPr>
        <w:ind w:right="-410"/>
        <w:rPr>
          <w:b/>
        </w:rPr>
      </w:pPr>
    </w:p>
    <w:p w:rsidR="0020499E" w:rsidRDefault="008E27E1">
      <w:pPr>
        <w:ind w:right="-410"/>
        <w:rPr>
          <w:b/>
        </w:rPr>
      </w:pPr>
      <w:r>
        <w:rPr>
          <w:b/>
        </w:rPr>
        <w:t>RSI Russia (2010-2012)</w:t>
      </w:r>
    </w:p>
    <w:p w:rsidR="0020499E" w:rsidRDefault="008E27E1">
      <w:pPr>
        <w:ind w:right="-410"/>
        <w:jc w:val="center"/>
        <w:rPr>
          <w:noProof/>
        </w:rPr>
      </w:pPr>
      <w:r>
        <w:rPr>
          <w:noProof/>
        </w:rPr>
        <w:drawing>
          <wp:inline distT="0" distB="0" distL="0" distR="0">
            <wp:extent cx="3010619" cy="1880558"/>
            <wp:effectExtent l="0" t="0" r="0" b="5715"/>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r>
        <w:rPr>
          <w:noProof/>
        </w:rPr>
        <w:drawing>
          <wp:inline distT="0" distB="0" distL="0" distR="0">
            <wp:extent cx="3165894" cy="1880558"/>
            <wp:effectExtent l="0" t="0" r="0" b="5715"/>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rsidR="0020499E" w:rsidRDefault="008E27E1">
      <w:pPr>
        <w:ind w:right="-410"/>
        <w:rPr>
          <w:b/>
          <w:sz w:val="16"/>
          <w:szCs w:val="16"/>
        </w:rPr>
      </w:pPr>
      <w:r>
        <w:rPr>
          <w:sz w:val="16"/>
          <w:szCs w:val="16"/>
        </w:rPr>
        <w:t>Source: Scopus database (2010-2012)</w:t>
      </w:r>
      <w:r>
        <w:rPr>
          <w:sz w:val="16"/>
          <w:szCs w:val="16"/>
        </w:rPr>
        <w:tab/>
      </w:r>
      <w:r>
        <w:rPr>
          <w:sz w:val="16"/>
          <w:szCs w:val="16"/>
        </w:rPr>
        <w:tab/>
      </w:r>
      <w:r>
        <w:rPr>
          <w:sz w:val="16"/>
          <w:szCs w:val="16"/>
        </w:rPr>
        <w:tab/>
      </w:r>
      <w:r>
        <w:rPr>
          <w:sz w:val="16"/>
          <w:szCs w:val="16"/>
        </w:rPr>
        <w:tab/>
        <w:t>Source: Web of Science database (2010-2012)</w:t>
      </w:r>
    </w:p>
    <w:p w:rsidR="0020499E" w:rsidRDefault="0020499E">
      <w:pPr>
        <w:ind w:right="-410"/>
      </w:pPr>
    </w:p>
    <w:p w:rsidR="0020499E" w:rsidRDefault="0020499E">
      <w:pPr>
        <w:ind w:right="-410"/>
        <w:rPr>
          <w:b/>
        </w:rPr>
      </w:pPr>
    </w:p>
    <w:p w:rsidR="0020499E" w:rsidRDefault="008E27E1">
      <w:pPr>
        <w:ind w:right="-410"/>
        <w:rPr>
          <w:b/>
        </w:rPr>
      </w:pPr>
      <w:r>
        <w:rPr>
          <w:b/>
        </w:rPr>
        <w:t>RSI Armenia (2010-2012)</w:t>
      </w:r>
    </w:p>
    <w:p w:rsidR="0020499E" w:rsidRDefault="008E27E1">
      <w:pPr>
        <w:ind w:right="-410"/>
      </w:pPr>
      <w:r>
        <w:rPr>
          <w:noProof/>
        </w:rPr>
        <w:drawing>
          <wp:inline distT="0" distB="0" distL="0" distR="0">
            <wp:extent cx="3079630" cy="1915065"/>
            <wp:effectExtent l="0" t="0" r="6985" b="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r>
        <w:rPr>
          <w:noProof/>
        </w:rPr>
        <w:drawing>
          <wp:inline distT="0" distB="0" distL="0" distR="0">
            <wp:extent cx="2847975" cy="2181225"/>
            <wp:effectExtent l="0" t="0" r="0" b="0"/>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p>
    <w:p w:rsidR="0020499E" w:rsidRDefault="008E27E1">
      <w:pPr>
        <w:ind w:right="-410"/>
        <w:rPr>
          <w:b/>
          <w:sz w:val="16"/>
          <w:szCs w:val="16"/>
        </w:rPr>
      </w:pPr>
      <w:r>
        <w:rPr>
          <w:sz w:val="16"/>
          <w:szCs w:val="16"/>
        </w:rPr>
        <w:t>Source: Scopus database (2010-2012)</w:t>
      </w:r>
      <w:r>
        <w:rPr>
          <w:sz w:val="16"/>
          <w:szCs w:val="16"/>
        </w:rPr>
        <w:tab/>
      </w:r>
      <w:r>
        <w:rPr>
          <w:sz w:val="16"/>
          <w:szCs w:val="16"/>
        </w:rPr>
        <w:tab/>
      </w:r>
      <w:r>
        <w:rPr>
          <w:sz w:val="16"/>
          <w:szCs w:val="16"/>
        </w:rPr>
        <w:tab/>
      </w:r>
      <w:r>
        <w:rPr>
          <w:sz w:val="16"/>
          <w:szCs w:val="16"/>
        </w:rPr>
        <w:tab/>
        <w:t>Source: Web of Science database (2010-2012)</w:t>
      </w:r>
    </w:p>
    <w:p w:rsidR="0020499E" w:rsidRDefault="0020499E">
      <w:pPr>
        <w:ind w:right="-410"/>
      </w:pPr>
    </w:p>
    <w:p w:rsidR="0020499E" w:rsidRDefault="0020499E">
      <w:pPr>
        <w:ind w:right="-410"/>
        <w:rPr>
          <w:b/>
        </w:rPr>
      </w:pPr>
    </w:p>
    <w:p w:rsidR="0020499E" w:rsidRDefault="008E27E1">
      <w:pPr>
        <w:ind w:right="-410"/>
      </w:pPr>
      <w:r>
        <w:rPr>
          <w:b/>
        </w:rPr>
        <w:t>RSI Azerbaijan (2010-2012)</w:t>
      </w:r>
    </w:p>
    <w:p w:rsidR="0020499E" w:rsidRDefault="008E27E1">
      <w:pPr>
        <w:ind w:right="-410"/>
      </w:pPr>
      <w:r>
        <w:rPr>
          <w:noProof/>
        </w:rPr>
        <w:drawing>
          <wp:inline distT="0" distB="0" distL="0" distR="0">
            <wp:extent cx="3536830" cy="1777042"/>
            <wp:effectExtent l="0" t="0" r="6985" b="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r>
        <w:rPr>
          <w:noProof/>
        </w:rPr>
        <w:drawing>
          <wp:inline distT="0" distB="0" distL="0" distR="0">
            <wp:extent cx="2676525" cy="1952625"/>
            <wp:effectExtent l="0" t="0" r="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p>
    <w:p w:rsidR="0020499E" w:rsidRDefault="0020499E">
      <w:pPr>
        <w:ind w:right="-410"/>
      </w:pPr>
    </w:p>
    <w:p w:rsidR="0020499E" w:rsidRDefault="008E27E1">
      <w:pPr>
        <w:ind w:right="-410"/>
        <w:rPr>
          <w:b/>
          <w:sz w:val="16"/>
          <w:szCs w:val="16"/>
        </w:rPr>
      </w:pPr>
      <w:r>
        <w:rPr>
          <w:sz w:val="16"/>
          <w:szCs w:val="16"/>
        </w:rPr>
        <w:t>Source: Scopus database (2010-2012)</w:t>
      </w:r>
      <w:r>
        <w:rPr>
          <w:sz w:val="16"/>
          <w:szCs w:val="16"/>
        </w:rPr>
        <w:tab/>
      </w:r>
      <w:r>
        <w:rPr>
          <w:sz w:val="16"/>
          <w:szCs w:val="16"/>
        </w:rPr>
        <w:tab/>
      </w:r>
      <w:r>
        <w:rPr>
          <w:sz w:val="16"/>
          <w:szCs w:val="16"/>
        </w:rPr>
        <w:tab/>
      </w:r>
      <w:r>
        <w:rPr>
          <w:sz w:val="16"/>
          <w:szCs w:val="16"/>
        </w:rPr>
        <w:tab/>
        <w:t>Source: Web of Science d</w:t>
      </w:r>
      <w:r>
        <w:rPr>
          <w:sz w:val="16"/>
          <w:szCs w:val="16"/>
        </w:rPr>
        <w:t>atabase (2010-2012)</w:t>
      </w:r>
    </w:p>
    <w:p w:rsidR="0020499E" w:rsidRDefault="0020499E">
      <w:pPr>
        <w:ind w:right="-410"/>
        <w:rPr>
          <w:b/>
        </w:rPr>
      </w:pPr>
    </w:p>
    <w:p w:rsidR="0020499E" w:rsidRDefault="0020499E">
      <w:pPr>
        <w:ind w:right="-410"/>
        <w:rPr>
          <w:b/>
        </w:rPr>
      </w:pPr>
    </w:p>
    <w:p w:rsidR="0020499E" w:rsidRDefault="008E27E1">
      <w:pPr>
        <w:ind w:right="-410"/>
        <w:rPr>
          <w:b/>
        </w:rPr>
      </w:pPr>
      <w:r>
        <w:rPr>
          <w:b/>
        </w:rPr>
        <w:t>RSI Ukraine (2010-2012)</w:t>
      </w:r>
    </w:p>
    <w:p w:rsidR="0020499E" w:rsidRDefault="008E27E1">
      <w:pPr>
        <w:ind w:right="-410"/>
      </w:pPr>
      <w:r>
        <w:rPr>
          <w:noProof/>
        </w:rPr>
        <w:drawing>
          <wp:inline distT="0" distB="0" distL="0" distR="0">
            <wp:extent cx="3200400" cy="2066925"/>
            <wp:effectExtent l="0" t="0" r="0" b="0"/>
            <wp:docPr id="33" name="Chart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r>
        <w:rPr>
          <w:noProof/>
        </w:rPr>
        <w:drawing>
          <wp:inline distT="0" distB="0" distL="0" distR="0">
            <wp:extent cx="3027872" cy="2070339"/>
            <wp:effectExtent l="0" t="0" r="1270" b="6350"/>
            <wp:docPr id="32" name="Chart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p>
    <w:p w:rsidR="0020499E" w:rsidRDefault="008E27E1">
      <w:pPr>
        <w:ind w:right="-410"/>
        <w:jc w:val="center"/>
        <w:rPr>
          <w:b/>
          <w:sz w:val="16"/>
          <w:szCs w:val="16"/>
        </w:rPr>
      </w:pPr>
      <w:r>
        <w:rPr>
          <w:sz w:val="16"/>
          <w:szCs w:val="16"/>
        </w:rPr>
        <w:t>Source: Scopus database (2010-2012)</w:t>
      </w:r>
      <w:r>
        <w:rPr>
          <w:sz w:val="16"/>
          <w:szCs w:val="16"/>
        </w:rPr>
        <w:tab/>
      </w:r>
      <w:r>
        <w:rPr>
          <w:sz w:val="16"/>
          <w:szCs w:val="16"/>
        </w:rPr>
        <w:tab/>
      </w:r>
      <w:r>
        <w:rPr>
          <w:sz w:val="16"/>
          <w:szCs w:val="16"/>
        </w:rPr>
        <w:tab/>
      </w:r>
      <w:r>
        <w:rPr>
          <w:sz w:val="16"/>
          <w:szCs w:val="16"/>
        </w:rPr>
        <w:tab/>
        <w:t>Source: Web of Science database (2010-2012)</w:t>
      </w:r>
    </w:p>
    <w:p w:rsidR="0020499E" w:rsidRDefault="0020499E">
      <w:pPr>
        <w:ind w:right="-410"/>
        <w:rPr>
          <w:b/>
        </w:rPr>
      </w:pPr>
    </w:p>
    <w:p w:rsidR="0020499E" w:rsidRDefault="0020499E">
      <w:pPr>
        <w:ind w:right="-410"/>
        <w:rPr>
          <w:b/>
        </w:rPr>
      </w:pPr>
    </w:p>
    <w:p w:rsidR="0020499E" w:rsidRDefault="008E27E1">
      <w:pPr>
        <w:ind w:right="-410"/>
      </w:pPr>
      <w:r>
        <w:rPr>
          <w:b/>
        </w:rPr>
        <w:t>RSI Lithuania (2010-2012)</w:t>
      </w:r>
    </w:p>
    <w:p w:rsidR="0020499E" w:rsidRDefault="008E27E1">
      <w:pPr>
        <w:ind w:right="-410"/>
      </w:pPr>
      <w:r>
        <w:rPr>
          <w:noProof/>
        </w:rPr>
        <w:drawing>
          <wp:inline distT="0" distB="0" distL="0" distR="0">
            <wp:extent cx="3096883" cy="2009954"/>
            <wp:effectExtent l="0" t="0" r="8890" b="0"/>
            <wp:docPr id="34" name="Chart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67"/>
              </a:graphicData>
            </a:graphic>
          </wp:inline>
        </w:drawing>
      </w:r>
      <w:r>
        <w:rPr>
          <w:noProof/>
        </w:rPr>
        <w:drawing>
          <wp:inline distT="0" distB="0" distL="0" distR="0">
            <wp:extent cx="3095625" cy="2019300"/>
            <wp:effectExtent l="0" t="0" r="0" b="0"/>
            <wp:docPr id="37" name="Chart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68"/>
              </a:graphicData>
            </a:graphic>
          </wp:inline>
        </w:drawing>
      </w:r>
    </w:p>
    <w:p w:rsidR="0020499E" w:rsidRDefault="008E27E1">
      <w:pPr>
        <w:ind w:right="-410"/>
        <w:jc w:val="center"/>
        <w:rPr>
          <w:b/>
          <w:sz w:val="16"/>
          <w:szCs w:val="16"/>
        </w:rPr>
      </w:pPr>
      <w:r>
        <w:rPr>
          <w:sz w:val="16"/>
          <w:szCs w:val="16"/>
        </w:rPr>
        <w:t>Source: Scopus database (2010-2012)</w:t>
      </w:r>
      <w:r>
        <w:rPr>
          <w:sz w:val="16"/>
          <w:szCs w:val="16"/>
        </w:rPr>
        <w:tab/>
      </w:r>
      <w:r>
        <w:rPr>
          <w:sz w:val="16"/>
          <w:szCs w:val="16"/>
        </w:rPr>
        <w:tab/>
      </w:r>
      <w:r>
        <w:rPr>
          <w:sz w:val="16"/>
          <w:szCs w:val="16"/>
        </w:rPr>
        <w:tab/>
      </w:r>
      <w:r>
        <w:rPr>
          <w:sz w:val="16"/>
          <w:szCs w:val="16"/>
        </w:rPr>
        <w:tab/>
        <w:t>Source: Web of Science database (2010-2012)</w:t>
      </w:r>
    </w:p>
    <w:p w:rsidR="0020499E" w:rsidRDefault="0020499E">
      <w:pPr>
        <w:ind w:right="-410"/>
      </w:pPr>
    </w:p>
    <w:p w:rsidR="0020499E" w:rsidRDefault="008E27E1">
      <w:pPr>
        <w:ind w:right="-410"/>
      </w:pPr>
      <w:r>
        <w:rPr>
          <w:b/>
        </w:rPr>
        <w:t xml:space="preserve">RSI </w:t>
      </w:r>
      <w:r>
        <w:rPr>
          <w:b/>
        </w:rPr>
        <w:t>Estonia (2010-2012)</w:t>
      </w:r>
    </w:p>
    <w:p w:rsidR="0020499E" w:rsidRDefault="008E27E1">
      <w:pPr>
        <w:ind w:right="-410"/>
      </w:pPr>
      <w:r>
        <w:rPr>
          <w:noProof/>
        </w:rPr>
        <w:drawing>
          <wp:inline distT="0" distB="0" distL="0" distR="0">
            <wp:extent cx="3165894" cy="2380890"/>
            <wp:effectExtent l="0" t="0" r="0" b="635"/>
            <wp:docPr id="38" name="Chart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69"/>
              </a:graphicData>
            </a:graphic>
          </wp:inline>
        </w:drawing>
      </w:r>
      <w:r>
        <w:rPr>
          <w:noProof/>
        </w:rPr>
        <w:drawing>
          <wp:inline distT="0" distB="0" distL="0" distR="0">
            <wp:extent cx="3027872" cy="2337759"/>
            <wp:effectExtent l="0" t="0" r="1270" b="5715"/>
            <wp:docPr id="39" name="Chart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70"/>
              </a:graphicData>
            </a:graphic>
          </wp:inline>
        </w:drawing>
      </w:r>
    </w:p>
    <w:p w:rsidR="0020499E" w:rsidRDefault="008E27E1">
      <w:pPr>
        <w:ind w:right="-410"/>
        <w:jc w:val="center"/>
        <w:rPr>
          <w:sz w:val="16"/>
          <w:szCs w:val="16"/>
        </w:rPr>
      </w:pPr>
      <w:r>
        <w:rPr>
          <w:sz w:val="16"/>
          <w:szCs w:val="16"/>
        </w:rPr>
        <w:t>Source: Scopus database (2010-2012)</w:t>
      </w:r>
      <w:r>
        <w:rPr>
          <w:sz w:val="16"/>
          <w:szCs w:val="16"/>
        </w:rPr>
        <w:tab/>
      </w:r>
      <w:r>
        <w:rPr>
          <w:sz w:val="16"/>
          <w:szCs w:val="16"/>
        </w:rPr>
        <w:tab/>
      </w:r>
      <w:r>
        <w:rPr>
          <w:sz w:val="16"/>
          <w:szCs w:val="16"/>
        </w:rPr>
        <w:tab/>
      </w:r>
      <w:r>
        <w:rPr>
          <w:sz w:val="16"/>
          <w:szCs w:val="16"/>
        </w:rPr>
        <w:tab/>
        <w:t>Source: Web of Science database (2010-2012)</w:t>
      </w:r>
    </w:p>
    <w:p w:rsidR="0020499E" w:rsidRDefault="008E27E1">
      <w:pPr>
        <w:pStyle w:val="Heading2"/>
      </w:pPr>
      <w:r>
        <w:br w:type="page"/>
      </w:r>
      <w:bookmarkStart w:id="55" w:name="_Toc389396942"/>
      <w:r>
        <w:lastRenderedPageBreak/>
        <w:t>Annex 5: Patent data update from Sakpatenti</w:t>
      </w:r>
      <w:bookmarkEnd w:id="55"/>
    </w:p>
    <w:p w:rsidR="0020499E" w:rsidRDefault="0020499E"/>
    <w:p w:rsidR="0020499E" w:rsidRDefault="008E27E1">
      <w:pPr>
        <w:jc w:val="center"/>
        <w:rPr>
          <w:b/>
        </w:rPr>
      </w:pPr>
      <w:r>
        <w:rPr>
          <w:b/>
        </w:rPr>
        <w:t>Patents granted (2004-2013)</w:t>
      </w:r>
    </w:p>
    <w:p w:rsidR="0020499E" w:rsidRDefault="008E27E1">
      <w:r>
        <w:rPr>
          <w:noProof/>
        </w:rPr>
        <w:drawing>
          <wp:inline distT="0" distB="0" distL="0" distR="0">
            <wp:extent cx="6334125" cy="2695575"/>
            <wp:effectExtent l="0" t="0" r="0" b="0"/>
            <wp:docPr id="56" name="Chart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71"/>
              </a:graphicData>
            </a:graphic>
          </wp:inline>
        </w:drawing>
      </w:r>
    </w:p>
    <w:p w:rsidR="0020499E" w:rsidRDefault="008E27E1">
      <w:pPr>
        <w:jc w:val="center"/>
        <w:rPr>
          <w:b/>
          <w:sz w:val="18"/>
        </w:rPr>
      </w:pPr>
      <w:r>
        <w:rPr>
          <w:sz w:val="18"/>
        </w:rPr>
        <w:t>Source: Sakpatenti, 2014</w:t>
      </w:r>
    </w:p>
    <w:p w:rsidR="0020499E" w:rsidRDefault="0020499E">
      <w:pPr>
        <w:jc w:val="center"/>
        <w:rPr>
          <w:b/>
        </w:rPr>
      </w:pPr>
    </w:p>
    <w:p w:rsidR="0020499E" w:rsidRDefault="0020499E">
      <w:pPr>
        <w:jc w:val="center"/>
        <w:rPr>
          <w:b/>
        </w:rPr>
      </w:pPr>
    </w:p>
    <w:p w:rsidR="0020499E" w:rsidRDefault="008E27E1">
      <w:pPr>
        <w:jc w:val="center"/>
        <w:rPr>
          <w:b/>
        </w:rPr>
      </w:pPr>
      <w:r>
        <w:rPr>
          <w:b/>
        </w:rPr>
        <w:t>Domestic and international patents by categorie</w:t>
      </w:r>
      <w:r>
        <w:rPr>
          <w:b/>
        </w:rPr>
        <w:t>s and years (2004-2013)</w:t>
      </w:r>
    </w:p>
    <w:p w:rsidR="0020499E" w:rsidRDefault="0020499E">
      <w:pPr>
        <w:jc w:val="center"/>
        <w:rPr>
          <w:b/>
        </w:rPr>
      </w:pPr>
    </w:p>
    <w:p w:rsidR="0020499E" w:rsidRDefault="008E27E1">
      <w:r>
        <w:t>Local patents</w:t>
      </w:r>
      <w:r>
        <w:tab/>
      </w:r>
      <w:r>
        <w:tab/>
      </w:r>
      <w:r>
        <w:tab/>
      </w:r>
      <w:r>
        <w:tab/>
      </w:r>
      <w:r>
        <w:tab/>
      </w:r>
      <w:r>
        <w:tab/>
        <w:t>International patents</w:t>
      </w:r>
    </w:p>
    <w:p w:rsidR="0020499E" w:rsidRDefault="008E27E1">
      <w:pPr>
        <w:rPr>
          <w:noProof/>
        </w:rPr>
      </w:pPr>
      <w:r>
        <w:rPr>
          <w:noProof/>
        </w:rPr>
        <w:drawing>
          <wp:inline distT="0" distB="0" distL="0" distR="0">
            <wp:extent cx="2962275" cy="3200400"/>
            <wp:effectExtent l="0" t="0" r="0" b="0"/>
            <wp:docPr id="57" name="Chart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72"/>
              </a:graphicData>
            </a:graphic>
          </wp:inline>
        </w:drawing>
      </w:r>
      <w:r>
        <w:rPr>
          <w:noProof/>
        </w:rPr>
        <w:drawing>
          <wp:inline distT="0" distB="0" distL="0" distR="0">
            <wp:extent cx="3028950" cy="3171825"/>
            <wp:effectExtent l="0" t="0" r="0" b="0"/>
            <wp:docPr id="58" name="Chart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73"/>
              </a:graphicData>
            </a:graphic>
          </wp:inline>
        </w:drawing>
      </w:r>
    </w:p>
    <w:p w:rsidR="0020499E" w:rsidRDefault="008E27E1">
      <w:pPr>
        <w:autoSpaceDE/>
        <w:autoSpaceDN/>
        <w:adjustRightInd/>
        <w:jc w:val="center"/>
        <w:rPr>
          <w:sz w:val="18"/>
        </w:rPr>
      </w:pPr>
      <w:r>
        <w:rPr>
          <w:sz w:val="18"/>
        </w:rPr>
        <w:t>Source: Sakpatenti, 2014</w:t>
      </w:r>
    </w:p>
    <w:p w:rsidR="0020499E" w:rsidRDefault="0020499E"/>
    <w:p w:rsidR="0020499E" w:rsidRDefault="0020499E"/>
    <w:p w:rsidR="0020499E" w:rsidRDefault="008E27E1">
      <w:r>
        <w:br w:type="page"/>
      </w:r>
    </w:p>
    <w:p w:rsidR="0020499E" w:rsidRDefault="008E27E1">
      <w:pPr>
        <w:pStyle w:val="Heading2"/>
      </w:pPr>
      <w:bookmarkStart w:id="56" w:name="_Toc389396943"/>
      <w:r>
        <w:lastRenderedPageBreak/>
        <w:t>Annex 6: Cross country comparison of research assessment frameworks</w:t>
      </w:r>
      <w:bookmarkEnd w:id="56"/>
      <w:r>
        <w:br/>
      </w:r>
    </w:p>
    <w:tbl>
      <w:tblPr>
        <w:tblStyle w:val="TableGrid"/>
        <w:tblW w:w="9923" w:type="dxa"/>
        <w:tblInd w:w="-34" w:type="dxa"/>
        <w:tblLayout w:type="fixed"/>
        <w:tblLook w:val="04A0"/>
      </w:tblPr>
      <w:tblGrid>
        <w:gridCol w:w="1135"/>
        <w:gridCol w:w="1417"/>
        <w:gridCol w:w="1418"/>
        <w:gridCol w:w="1559"/>
        <w:gridCol w:w="1417"/>
        <w:gridCol w:w="1418"/>
        <w:gridCol w:w="1559"/>
      </w:tblGrid>
      <w:tr w:rsidR="0020499E">
        <w:tc>
          <w:tcPr>
            <w:tcW w:w="1135" w:type="dxa"/>
          </w:tcPr>
          <w:p w:rsidR="0020499E" w:rsidRDefault="008E27E1">
            <w:pPr>
              <w:ind w:left="-108"/>
              <w:jc w:val="center"/>
              <w:rPr>
                <w:rFonts w:ascii="FrutigerLTStd-Bold" w:hAnsi="FrutigerLTStd-Bold" w:cs="FrutigerLTStd-Bold"/>
                <w:b/>
                <w:bCs/>
                <w:sz w:val="18"/>
                <w:szCs w:val="16"/>
              </w:rPr>
            </w:pPr>
            <w:r>
              <w:rPr>
                <w:rFonts w:ascii="FrutigerLTStd-Bold" w:hAnsi="FrutigerLTStd-Bold" w:cs="FrutigerLTStd-Bold"/>
                <w:b/>
                <w:bCs/>
                <w:sz w:val="18"/>
                <w:szCs w:val="16"/>
              </w:rPr>
              <w:t>Framework</w:t>
            </w:r>
          </w:p>
        </w:tc>
        <w:tc>
          <w:tcPr>
            <w:tcW w:w="1417" w:type="dxa"/>
          </w:tcPr>
          <w:p w:rsidR="0020499E" w:rsidRDefault="008E27E1">
            <w:pPr>
              <w:jc w:val="center"/>
              <w:rPr>
                <w:rFonts w:ascii="FrutigerLTStd-Bold" w:hAnsi="FrutigerLTStd-Bold" w:cs="FrutigerLTStd-Bold"/>
                <w:b/>
                <w:bCs/>
                <w:sz w:val="18"/>
                <w:szCs w:val="16"/>
              </w:rPr>
            </w:pPr>
            <w:r>
              <w:rPr>
                <w:rFonts w:ascii="FrutigerLTStd-Bold" w:hAnsi="FrutigerLTStd-Bold" w:cs="FrutigerLTStd-Bold"/>
                <w:b/>
                <w:bCs/>
                <w:sz w:val="18"/>
                <w:szCs w:val="16"/>
              </w:rPr>
              <w:t xml:space="preserve">Key </w:t>
            </w:r>
          </w:p>
          <w:p w:rsidR="0020499E" w:rsidRDefault="008E27E1">
            <w:pPr>
              <w:jc w:val="center"/>
              <w:rPr>
                <w:rFonts w:ascii="FrutigerLTStd-Bold" w:hAnsi="FrutigerLTStd-Bold" w:cs="FrutigerLTStd-Bold"/>
                <w:b/>
                <w:bCs/>
                <w:sz w:val="18"/>
                <w:szCs w:val="16"/>
              </w:rPr>
            </w:pPr>
            <w:r>
              <w:rPr>
                <w:rFonts w:ascii="FrutigerLTStd-Bold" w:hAnsi="FrutigerLTStd-Bold" w:cs="FrutigerLTStd-Bold"/>
                <w:b/>
                <w:bCs/>
                <w:sz w:val="18"/>
                <w:szCs w:val="16"/>
              </w:rPr>
              <w:t>aim</w:t>
            </w:r>
          </w:p>
        </w:tc>
        <w:tc>
          <w:tcPr>
            <w:tcW w:w="1418" w:type="dxa"/>
          </w:tcPr>
          <w:p w:rsidR="0020499E" w:rsidRDefault="008E27E1">
            <w:pPr>
              <w:jc w:val="center"/>
              <w:rPr>
                <w:rFonts w:ascii="FrutigerLTStd-Bold" w:hAnsi="FrutigerLTStd-Bold" w:cs="FrutigerLTStd-Bold"/>
                <w:b/>
                <w:bCs/>
                <w:sz w:val="18"/>
                <w:szCs w:val="16"/>
              </w:rPr>
            </w:pPr>
            <w:r>
              <w:rPr>
                <w:rFonts w:ascii="FrutigerLTStd-Bold" w:hAnsi="FrutigerLTStd-Bold" w:cs="FrutigerLTStd-Bold"/>
                <w:b/>
                <w:bCs/>
                <w:sz w:val="18"/>
                <w:szCs w:val="16"/>
              </w:rPr>
              <w:t>Scope</w:t>
            </w:r>
          </w:p>
        </w:tc>
        <w:tc>
          <w:tcPr>
            <w:tcW w:w="1559" w:type="dxa"/>
          </w:tcPr>
          <w:p w:rsidR="0020499E" w:rsidRDefault="008E27E1">
            <w:pPr>
              <w:jc w:val="center"/>
              <w:rPr>
                <w:rFonts w:ascii="FrutigerLTStd-Bold" w:hAnsi="FrutigerLTStd-Bold" w:cs="FrutigerLTStd-Bold"/>
                <w:b/>
                <w:bCs/>
                <w:sz w:val="18"/>
                <w:szCs w:val="16"/>
              </w:rPr>
            </w:pPr>
            <w:r>
              <w:rPr>
                <w:rFonts w:ascii="FrutigerLTStd-Bold" w:hAnsi="FrutigerLTStd-Bold" w:cs="FrutigerLTStd-Bold"/>
                <w:b/>
                <w:bCs/>
                <w:sz w:val="18"/>
                <w:szCs w:val="16"/>
              </w:rPr>
              <w:t>Measurement</w:t>
            </w:r>
          </w:p>
        </w:tc>
        <w:tc>
          <w:tcPr>
            <w:tcW w:w="1417" w:type="dxa"/>
          </w:tcPr>
          <w:p w:rsidR="0020499E" w:rsidRDefault="008E27E1">
            <w:pPr>
              <w:jc w:val="center"/>
              <w:rPr>
                <w:rFonts w:ascii="FrutigerLTStd-Bold" w:hAnsi="FrutigerLTStd-Bold" w:cs="FrutigerLTStd-Bold"/>
                <w:b/>
                <w:bCs/>
                <w:sz w:val="18"/>
                <w:szCs w:val="16"/>
              </w:rPr>
            </w:pPr>
            <w:r>
              <w:rPr>
                <w:rFonts w:ascii="FrutigerLTStd-Bold" w:hAnsi="FrutigerLTStd-Bold" w:cs="FrutigerLTStd-Bold"/>
                <w:b/>
                <w:bCs/>
                <w:sz w:val="18"/>
                <w:szCs w:val="16"/>
              </w:rPr>
              <w:t xml:space="preserve">Application </w:t>
            </w:r>
          </w:p>
          <w:p w:rsidR="0020499E" w:rsidRDefault="008E27E1">
            <w:pPr>
              <w:jc w:val="center"/>
              <w:rPr>
                <w:rFonts w:ascii="FrutigerLTStd-Bold" w:hAnsi="FrutigerLTStd-Bold" w:cs="FrutigerLTStd-Bold"/>
                <w:b/>
                <w:bCs/>
                <w:sz w:val="18"/>
                <w:szCs w:val="16"/>
              </w:rPr>
            </w:pPr>
            <w:r>
              <w:rPr>
                <w:rFonts w:ascii="FrutigerLTStd-Bold" w:hAnsi="FrutigerLTStd-Bold" w:cs="FrutigerLTStd-Bold"/>
                <w:b/>
                <w:bCs/>
                <w:sz w:val="18"/>
                <w:szCs w:val="16"/>
              </w:rPr>
              <w:t>To date</w:t>
            </w:r>
          </w:p>
        </w:tc>
        <w:tc>
          <w:tcPr>
            <w:tcW w:w="1418" w:type="dxa"/>
          </w:tcPr>
          <w:p w:rsidR="0020499E" w:rsidRDefault="008E27E1">
            <w:pPr>
              <w:jc w:val="center"/>
              <w:rPr>
                <w:rFonts w:ascii="FrutigerLTStd-Bold" w:hAnsi="FrutigerLTStd-Bold" w:cs="FrutigerLTStd-Bold"/>
                <w:b/>
                <w:bCs/>
                <w:sz w:val="18"/>
                <w:szCs w:val="16"/>
              </w:rPr>
            </w:pPr>
            <w:r>
              <w:rPr>
                <w:rFonts w:ascii="FrutigerLTStd-Bold" w:hAnsi="FrutigerLTStd-Bold" w:cs="FrutigerLTStd-Bold"/>
                <w:b/>
                <w:bCs/>
                <w:sz w:val="18"/>
                <w:szCs w:val="16"/>
              </w:rPr>
              <w:t>Analysis</w:t>
            </w:r>
          </w:p>
        </w:tc>
        <w:tc>
          <w:tcPr>
            <w:tcW w:w="1559" w:type="dxa"/>
          </w:tcPr>
          <w:p w:rsidR="0020499E" w:rsidRDefault="008E27E1">
            <w:pPr>
              <w:jc w:val="center"/>
              <w:rPr>
                <w:rFonts w:ascii="FrutigerLTStd-Bold" w:hAnsi="FrutigerLTStd-Bold" w:cs="FrutigerLTStd-Bold"/>
                <w:b/>
                <w:bCs/>
                <w:sz w:val="18"/>
                <w:szCs w:val="16"/>
              </w:rPr>
            </w:pPr>
            <w:r>
              <w:rPr>
                <w:rFonts w:ascii="FrutigerLTStd-Bold" w:hAnsi="FrutigerLTStd-Bold" w:cs="FrutigerLTStd-Bold"/>
                <w:b/>
                <w:bCs/>
                <w:sz w:val="18"/>
                <w:szCs w:val="16"/>
              </w:rPr>
              <w:t>Wider</w:t>
            </w:r>
          </w:p>
          <w:p w:rsidR="0020499E" w:rsidRDefault="008E27E1">
            <w:pPr>
              <w:jc w:val="center"/>
              <w:rPr>
                <w:rFonts w:ascii="FrutigerLTStd-Bold" w:hAnsi="FrutigerLTStd-Bold" w:cs="FrutigerLTStd-Bold"/>
                <w:b/>
                <w:bCs/>
                <w:sz w:val="18"/>
                <w:szCs w:val="16"/>
              </w:rPr>
            </w:pPr>
            <w:r>
              <w:rPr>
                <w:rFonts w:ascii="FrutigerLTStd-Bold" w:hAnsi="FrutigerLTStd-Bold" w:cs="FrutigerLTStd-Bold"/>
                <w:b/>
                <w:bCs/>
                <w:sz w:val="18"/>
                <w:szCs w:val="16"/>
              </w:rPr>
              <w:t>applicability</w:t>
            </w:r>
          </w:p>
        </w:tc>
      </w:tr>
      <w:tr w:rsidR="0020499E">
        <w:tc>
          <w:tcPr>
            <w:tcW w:w="1135" w:type="dxa"/>
          </w:tcPr>
          <w:p w:rsidR="0020499E" w:rsidRDefault="008E27E1">
            <w:pPr>
              <w:ind w:right="-108"/>
              <w:jc w:val="center"/>
              <w:rPr>
                <w:rFonts w:ascii="FrutigerLTStd-Roman" w:hAnsi="FrutigerLTStd-Roman" w:cs="FrutigerLTStd-Roman"/>
                <w:b/>
                <w:sz w:val="16"/>
                <w:szCs w:val="16"/>
                <w:lang w:val="en-US"/>
              </w:rPr>
            </w:pPr>
            <w:r>
              <w:rPr>
                <w:rFonts w:ascii="FrutigerLTStd-Roman" w:hAnsi="FrutigerLTStd-Roman" w:cs="FrutigerLTStd-Roman"/>
                <w:b/>
                <w:sz w:val="16"/>
                <w:szCs w:val="16"/>
                <w:lang w:val="en-US"/>
              </w:rPr>
              <w:t>UK:</w:t>
            </w:r>
          </w:p>
          <w:p w:rsidR="0020499E" w:rsidRDefault="0020499E">
            <w:pPr>
              <w:ind w:right="-108"/>
              <w:jc w:val="center"/>
              <w:rPr>
                <w:rFonts w:ascii="FrutigerLTStd-Roman" w:hAnsi="FrutigerLTStd-Roman" w:cs="FrutigerLTStd-Roman"/>
                <w:b/>
                <w:sz w:val="16"/>
                <w:szCs w:val="16"/>
                <w:lang w:val="en-US"/>
              </w:rPr>
            </w:pPr>
          </w:p>
          <w:p w:rsidR="0020499E" w:rsidRDefault="008E27E1">
            <w:pPr>
              <w:ind w:right="-108"/>
              <w:jc w:val="center"/>
              <w:rPr>
                <w:rFonts w:ascii="FrutigerLTStd-Roman" w:hAnsi="FrutigerLTStd-Roman" w:cs="FrutigerLTStd-Roman"/>
                <w:b/>
                <w:sz w:val="16"/>
                <w:szCs w:val="16"/>
                <w:lang w:val="en-US"/>
              </w:rPr>
            </w:pPr>
            <w:r>
              <w:rPr>
                <w:rFonts w:ascii="FrutigerLTStd-Roman" w:hAnsi="FrutigerLTStd-Roman" w:cs="FrutigerLTStd-Roman"/>
                <w:b/>
                <w:sz w:val="16"/>
                <w:szCs w:val="16"/>
                <w:lang w:val="en-US"/>
              </w:rPr>
              <w:t>Research</w:t>
            </w:r>
          </w:p>
          <w:p w:rsidR="0020499E" w:rsidRDefault="008E27E1">
            <w:pPr>
              <w:ind w:right="-108"/>
              <w:jc w:val="center"/>
              <w:rPr>
                <w:rFonts w:ascii="FrutigerLTStd-Roman" w:hAnsi="FrutigerLTStd-Roman" w:cs="FrutigerLTStd-Roman"/>
                <w:b/>
                <w:sz w:val="16"/>
                <w:szCs w:val="16"/>
                <w:lang w:val="en-US"/>
              </w:rPr>
            </w:pPr>
            <w:r>
              <w:rPr>
                <w:rFonts w:ascii="FrutigerLTStd-Roman" w:hAnsi="FrutigerLTStd-Roman" w:cs="FrutigerLTStd-Roman"/>
                <w:b/>
                <w:sz w:val="16"/>
                <w:szCs w:val="16"/>
                <w:lang w:val="en-US"/>
              </w:rPr>
              <w:t>Excellence</w:t>
            </w:r>
          </w:p>
          <w:p w:rsidR="0020499E" w:rsidRDefault="008E27E1">
            <w:pPr>
              <w:ind w:right="-108"/>
              <w:jc w:val="center"/>
              <w:rPr>
                <w:rFonts w:ascii="FrutigerLTStd-Roman" w:hAnsi="FrutigerLTStd-Roman" w:cs="FrutigerLTStd-Roman"/>
                <w:b/>
                <w:sz w:val="16"/>
                <w:szCs w:val="16"/>
                <w:lang w:val="en-US"/>
              </w:rPr>
            </w:pPr>
            <w:r>
              <w:rPr>
                <w:rFonts w:ascii="FrutigerLTStd-Roman" w:hAnsi="FrutigerLTStd-Roman" w:cs="FrutigerLTStd-Roman"/>
                <w:b/>
                <w:sz w:val="16"/>
                <w:szCs w:val="16"/>
                <w:lang w:val="en-US"/>
              </w:rPr>
              <w:t>Framework</w:t>
            </w:r>
          </w:p>
          <w:p w:rsidR="0020499E" w:rsidRDefault="008E27E1">
            <w:pPr>
              <w:ind w:right="-108"/>
              <w:jc w:val="center"/>
              <w:rPr>
                <w:rFonts w:ascii="FrutigerLTStd-Roman" w:hAnsi="FrutigerLTStd-Roman" w:cs="FrutigerLTStd-Roman"/>
                <w:b/>
                <w:sz w:val="16"/>
                <w:szCs w:val="16"/>
                <w:lang w:val="en-US"/>
              </w:rPr>
            </w:pPr>
            <w:r>
              <w:rPr>
                <w:rFonts w:ascii="FrutigerLTStd-Roman" w:hAnsi="FrutigerLTStd-Roman" w:cs="FrutigerLTStd-Roman"/>
                <w:b/>
                <w:sz w:val="16"/>
                <w:szCs w:val="16"/>
                <w:lang w:val="en-US"/>
              </w:rPr>
              <w:t>(REF)</w:t>
            </w:r>
          </w:p>
          <w:p w:rsidR="0020499E" w:rsidRDefault="0020499E">
            <w:pPr>
              <w:ind w:right="-108"/>
              <w:jc w:val="center"/>
              <w:rPr>
                <w:rFonts w:ascii="FrutigerLTStd-Bold" w:hAnsi="FrutigerLTStd-Bold" w:cs="FrutigerLTStd-Bold"/>
                <w:b/>
                <w:bCs/>
                <w:sz w:val="16"/>
                <w:szCs w:val="16"/>
                <w:lang w:val="en-US"/>
              </w:rPr>
            </w:pPr>
          </w:p>
        </w:tc>
        <w:tc>
          <w:tcPr>
            <w:tcW w:w="1417" w:type="dxa"/>
          </w:tcPr>
          <w:p w:rsidR="0020499E" w:rsidRDefault="008E27E1">
            <w:pPr>
              <w:ind w:left="34"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Intended to be low burden,</w:t>
            </w:r>
          </w:p>
          <w:p w:rsidR="0020499E" w:rsidRDefault="008E27E1">
            <w:pPr>
              <w:ind w:left="34"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but pressure</w:t>
            </w:r>
          </w:p>
          <w:p w:rsidR="0020499E" w:rsidRDefault="008E27E1">
            <w:pPr>
              <w:ind w:left="34"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from researchers</w:t>
            </w:r>
          </w:p>
          <w:p w:rsidR="0020499E" w:rsidRDefault="008E27E1">
            <w:pPr>
              <w:ind w:left="34"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led to changes.</w:t>
            </w:r>
          </w:p>
          <w:p w:rsidR="0020499E" w:rsidRDefault="0020499E">
            <w:pPr>
              <w:ind w:right="-108"/>
              <w:jc w:val="left"/>
              <w:rPr>
                <w:rFonts w:ascii="FrutigerLTStd-Bold" w:hAnsi="FrutigerLTStd-Bold" w:cs="FrutigerLTStd-Bold"/>
                <w:b/>
                <w:bCs/>
                <w:sz w:val="16"/>
                <w:szCs w:val="16"/>
                <w:lang w:val="en-US"/>
              </w:rPr>
            </w:pPr>
          </w:p>
        </w:tc>
        <w:tc>
          <w:tcPr>
            <w:tcW w:w="1418" w:type="dxa"/>
          </w:tcPr>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Includes wider</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societal impact.</w:t>
            </w:r>
          </w:p>
          <w:p w:rsidR="0020499E" w:rsidRDefault="0020499E">
            <w:pPr>
              <w:ind w:right="-108"/>
              <w:jc w:val="left"/>
              <w:rPr>
                <w:rFonts w:ascii="FrutigerLTStd-Roman" w:hAnsi="FrutigerLTStd-Roman" w:cs="FrutigerLTStd-Roman"/>
                <w:sz w:val="16"/>
                <w:szCs w:val="16"/>
                <w:lang w:val="en-US"/>
              </w:rPr>
            </w:pP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 xml:space="preserve">Assessment at subject level on three elements: </w:t>
            </w:r>
          </w:p>
          <w:p w:rsidR="0020499E" w:rsidRDefault="008E27E1">
            <w:pPr>
              <w:pStyle w:val="ListParagraph"/>
              <w:widowControl/>
              <w:numPr>
                <w:ilvl w:val="0"/>
                <w:numId w:val="28"/>
              </w:numPr>
              <w:ind w:left="34" w:right="-108" w:hanging="142"/>
              <w:jc w:val="left"/>
              <w:rPr>
                <w:rFonts w:ascii="FrutigerLTStd-Roman" w:eastAsiaTheme="minorHAnsi" w:hAnsi="FrutigerLTStd-Roman" w:cs="FrutigerLTStd-Roman"/>
                <w:sz w:val="16"/>
                <w:szCs w:val="16"/>
              </w:rPr>
            </w:pPr>
            <w:r>
              <w:rPr>
                <w:rFonts w:ascii="FrutigerLTStd-Roman" w:eastAsiaTheme="minorHAnsi" w:hAnsi="FrutigerLTStd-Roman" w:cs="FrutigerLTStd-Roman"/>
                <w:sz w:val="16"/>
                <w:szCs w:val="16"/>
              </w:rPr>
              <w:t>Quality of research output,</w:t>
            </w:r>
          </w:p>
          <w:p w:rsidR="0020499E" w:rsidRDefault="008E27E1">
            <w:pPr>
              <w:pStyle w:val="ListParagraph"/>
              <w:widowControl/>
              <w:numPr>
                <w:ilvl w:val="0"/>
                <w:numId w:val="28"/>
              </w:numPr>
              <w:ind w:left="34" w:right="-108" w:hanging="142"/>
              <w:jc w:val="left"/>
              <w:rPr>
                <w:rFonts w:ascii="FrutigerLTStd-Roman" w:eastAsiaTheme="minorHAnsi" w:hAnsi="FrutigerLTStd-Roman" w:cs="FrutigerLTStd-Roman"/>
                <w:sz w:val="16"/>
                <w:szCs w:val="16"/>
                <w:lang w:val="en-US"/>
              </w:rPr>
            </w:pPr>
            <w:r>
              <w:rPr>
                <w:rFonts w:ascii="FrutigerLTStd-Roman" w:eastAsiaTheme="minorHAnsi" w:hAnsi="FrutigerLTStd-Roman" w:cs="FrutigerLTStd-Roman"/>
                <w:sz w:val="16"/>
                <w:szCs w:val="16"/>
                <w:lang w:val="en-US"/>
              </w:rPr>
              <w:t xml:space="preserve"> Impact of research (not academic) and </w:t>
            </w:r>
          </w:p>
          <w:p w:rsidR="0020499E" w:rsidRDefault="008E27E1">
            <w:pPr>
              <w:pStyle w:val="ListParagraph"/>
              <w:widowControl/>
              <w:numPr>
                <w:ilvl w:val="0"/>
                <w:numId w:val="28"/>
              </w:numPr>
              <w:ind w:left="34" w:right="-108" w:hanging="142"/>
              <w:jc w:val="left"/>
              <w:rPr>
                <w:rFonts w:ascii="FrutigerLTStd-Roman" w:eastAsiaTheme="minorHAnsi" w:hAnsi="FrutigerLTStd-Roman" w:cs="FrutigerLTStd-Roman"/>
                <w:sz w:val="16"/>
                <w:szCs w:val="16"/>
              </w:rPr>
            </w:pPr>
            <w:r>
              <w:rPr>
                <w:rFonts w:ascii="FrutigerLTStd-Roman" w:eastAsiaTheme="minorHAnsi" w:hAnsi="FrutigerLTStd-Roman" w:cs="FrutigerLTStd-Roman"/>
                <w:sz w:val="16"/>
                <w:szCs w:val="16"/>
              </w:rPr>
              <w:t>vitality of</w:t>
            </w:r>
          </w:p>
          <w:p w:rsidR="0020499E" w:rsidRDefault="008E27E1">
            <w:pPr>
              <w:pStyle w:val="ListParagraph"/>
              <w:widowControl/>
              <w:numPr>
                <w:ilvl w:val="0"/>
                <w:numId w:val="28"/>
              </w:numPr>
              <w:ind w:left="34" w:right="-108" w:hanging="142"/>
              <w:jc w:val="left"/>
              <w:rPr>
                <w:rFonts w:ascii="FrutigerLTStd-Bold" w:eastAsiaTheme="minorHAnsi" w:hAnsi="FrutigerLTStd-Bold" w:cs="FrutigerLTStd-Bold"/>
                <w:b/>
                <w:bCs/>
                <w:sz w:val="16"/>
                <w:szCs w:val="16"/>
              </w:rPr>
            </w:pPr>
            <w:r>
              <w:rPr>
                <w:rFonts w:ascii="FrutigerLTStd-Roman" w:eastAsiaTheme="minorHAnsi" w:hAnsi="FrutigerLTStd-Roman" w:cs="FrutigerLTStd-Roman"/>
                <w:sz w:val="16"/>
                <w:szCs w:val="16"/>
              </w:rPr>
              <w:t>environment.</w:t>
            </w:r>
          </w:p>
        </w:tc>
        <w:tc>
          <w:tcPr>
            <w:tcW w:w="1559" w:type="dxa"/>
          </w:tcPr>
          <w:p w:rsidR="0020499E" w:rsidRDefault="008E27E1">
            <w:pPr>
              <w:ind w:right="-108"/>
              <w:jc w:val="left"/>
              <w:rPr>
                <w:rFonts w:ascii="FrutigerLTStd-Roman" w:hAnsi="FrutigerLTStd-Roman" w:cs="FrutigerLTStd-Roman"/>
                <w:sz w:val="16"/>
                <w:szCs w:val="16"/>
              </w:rPr>
            </w:pPr>
            <w:r>
              <w:rPr>
                <w:rFonts w:ascii="FrutigerLTStd-Roman" w:hAnsi="FrutigerLTStd-Roman" w:cs="FrutigerLTStd-Roman"/>
                <w:sz w:val="16"/>
                <w:szCs w:val="16"/>
              </w:rPr>
              <w:t>Assessment</w:t>
            </w:r>
          </w:p>
          <w:p w:rsidR="0020499E" w:rsidRDefault="008E27E1">
            <w:pPr>
              <w:ind w:right="-108"/>
              <w:jc w:val="left"/>
              <w:rPr>
                <w:rFonts w:ascii="FrutigerLTStd-Roman" w:hAnsi="FrutigerLTStd-Roman" w:cs="FrutigerLTStd-Roman"/>
                <w:sz w:val="16"/>
                <w:szCs w:val="16"/>
              </w:rPr>
            </w:pPr>
            <w:r>
              <w:rPr>
                <w:rFonts w:ascii="FrutigerLTStd-Roman" w:hAnsi="FrutigerLTStd-Roman" w:cs="FrutigerLTStd-Roman"/>
                <w:sz w:val="16"/>
                <w:szCs w:val="16"/>
              </w:rPr>
              <w:t>by subject</w:t>
            </w:r>
          </w:p>
          <w:p w:rsidR="0020499E" w:rsidRDefault="008E27E1">
            <w:pPr>
              <w:ind w:right="-108"/>
              <w:jc w:val="left"/>
              <w:rPr>
                <w:rFonts w:ascii="FrutigerLTStd-Roman" w:hAnsi="FrutigerLTStd-Roman" w:cs="FrutigerLTStd-Roman"/>
                <w:sz w:val="16"/>
                <w:szCs w:val="16"/>
              </w:rPr>
            </w:pPr>
            <w:r>
              <w:rPr>
                <w:rFonts w:ascii="FrutigerLTStd-Roman" w:hAnsi="FrutigerLTStd-Roman" w:cs="FrutigerLTStd-Roman"/>
                <w:sz w:val="16"/>
                <w:szCs w:val="16"/>
              </w:rPr>
              <w:t>peerreview</w:t>
            </w:r>
          </w:p>
          <w:p w:rsidR="0020499E" w:rsidRDefault="008E27E1">
            <w:pPr>
              <w:ind w:right="-108"/>
              <w:jc w:val="left"/>
              <w:rPr>
                <w:rFonts w:ascii="FrutigerLTStd-Roman" w:hAnsi="FrutigerLTStd-Roman" w:cs="FrutigerLTStd-Roman"/>
                <w:sz w:val="16"/>
                <w:szCs w:val="16"/>
              </w:rPr>
            </w:pPr>
            <w:r>
              <w:rPr>
                <w:rFonts w:ascii="FrutigerLTStd-Roman" w:hAnsi="FrutigerLTStd-Roman" w:cs="FrutigerLTStd-Roman"/>
                <w:sz w:val="16"/>
                <w:szCs w:val="16"/>
              </w:rPr>
              <w:t>panel of list of</w:t>
            </w:r>
          </w:p>
          <w:p w:rsidR="0020499E" w:rsidRDefault="008E27E1">
            <w:pPr>
              <w:ind w:right="-108"/>
              <w:jc w:val="left"/>
              <w:rPr>
                <w:rFonts w:ascii="FrutigerLTStd-Roman" w:hAnsi="FrutigerLTStd-Roman" w:cs="FrutigerLTStd-Roman"/>
                <w:sz w:val="16"/>
                <w:szCs w:val="16"/>
              </w:rPr>
            </w:pPr>
            <w:r>
              <w:rPr>
                <w:rFonts w:ascii="FrutigerLTStd-Roman" w:hAnsi="FrutigerLTStd-Roman" w:cs="FrutigerLTStd-Roman"/>
                <w:sz w:val="16"/>
                <w:szCs w:val="16"/>
              </w:rPr>
              <w:t>outputs, impact</w:t>
            </w:r>
          </w:p>
          <w:p w:rsidR="0020499E" w:rsidRDefault="008E27E1">
            <w:pPr>
              <w:ind w:right="-108"/>
              <w:jc w:val="left"/>
              <w:rPr>
                <w:rFonts w:ascii="FrutigerLTStd-Roman" w:hAnsi="FrutigerLTStd-Roman" w:cs="FrutigerLTStd-Roman"/>
                <w:sz w:val="16"/>
                <w:szCs w:val="16"/>
              </w:rPr>
            </w:pPr>
            <w:r>
              <w:rPr>
                <w:rFonts w:ascii="FrutigerLTStd-Roman" w:hAnsi="FrutigerLTStd-Roman" w:cs="FrutigerLTStd-Roman"/>
                <w:sz w:val="16"/>
                <w:szCs w:val="16"/>
              </w:rPr>
              <w:t>statement and</w:t>
            </w:r>
          </w:p>
          <w:p w:rsidR="0020499E" w:rsidRDefault="008E27E1">
            <w:pPr>
              <w:ind w:right="-108"/>
              <w:jc w:val="left"/>
              <w:rPr>
                <w:rFonts w:ascii="FrutigerLTStd-Roman" w:hAnsi="FrutigerLTStd-Roman" w:cs="FrutigerLTStd-Roman"/>
                <w:sz w:val="16"/>
                <w:szCs w:val="16"/>
              </w:rPr>
            </w:pPr>
            <w:r>
              <w:rPr>
                <w:rFonts w:ascii="FrutigerLTStd-Roman" w:hAnsi="FrutigerLTStd-Roman" w:cs="FrutigerLTStd-Roman"/>
                <w:sz w:val="16"/>
                <w:szCs w:val="16"/>
              </w:rPr>
              <w:t>case studies,</w:t>
            </w:r>
          </w:p>
          <w:p w:rsidR="0020499E" w:rsidRDefault="008E27E1">
            <w:pPr>
              <w:ind w:right="-108"/>
              <w:jc w:val="left"/>
              <w:rPr>
                <w:rFonts w:ascii="FrutigerLTStd-Roman" w:hAnsi="FrutigerLTStd-Roman" w:cs="FrutigerLTStd-Roman"/>
                <w:sz w:val="16"/>
                <w:szCs w:val="16"/>
              </w:rPr>
            </w:pPr>
            <w:r>
              <w:rPr>
                <w:rFonts w:ascii="FrutigerLTStd-Roman" w:hAnsi="FrutigerLTStd-Roman" w:cs="FrutigerLTStd-Roman"/>
                <w:sz w:val="16"/>
                <w:szCs w:val="16"/>
              </w:rPr>
              <w:t>and statement</w:t>
            </w:r>
          </w:p>
          <w:p w:rsidR="0020499E" w:rsidRDefault="008E27E1">
            <w:pPr>
              <w:ind w:right="-108"/>
              <w:jc w:val="left"/>
              <w:rPr>
                <w:rFonts w:ascii="FrutigerLTStd-Roman" w:hAnsi="FrutigerLTStd-Roman" w:cs="FrutigerLTStd-Roman"/>
                <w:sz w:val="16"/>
                <w:szCs w:val="16"/>
              </w:rPr>
            </w:pPr>
            <w:r>
              <w:rPr>
                <w:rFonts w:ascii="FrutigerLTStd-Roman" w:hAnsi="FrutigerLTStd-Roman" w:cs="FrutigerLTStd-Roman"/>
                <w:sz w:val="16"/>
                <w:szCs w:val="16"/>
              </w:rPr>
              <w:t>on research</w:t>
            </w:r>
          </w:p>
          <w:p w:rsidR="0020499E" w:rsidRDefault="008E27E1">
            <w:pPr>
              <w:ind w:right="-108"/>
              <w:jc w:val="left"/>
              <w:rPr>
                <w:rFonts w:ascii="FrutigerLTStd-Roman" w:hAnsi="FrutigerLTStd-Roman" w:cs="FrutigerLTStd-Roman"/>
                <w:sz w:val="16"/>
                <w:szCs w:val="16"/>
              </w:rPr>
            </w:pPr>
            <w:r>
              <w:rPr>
                <w:rFonts w:ascii="FrutigerLTStd-Roman" w:hAnsi="FrutigerLTStd-Roman" w:cs="FrutigerLTStd-Roman"/>
                <w:sz w:val="16"/>
                <w:szCs w:val="16"/>
              </w:rPr>
              <w:t>environment.</w:t>
            </w:r>
          </w:p>
          <w:p w:rsidR="0020499E" w:rsidRDefault="0020499E">
            <w:pPr>
              <w:ind w:right="-108"/>
              <w:jc w:val="left"/>
              <w:rPr>
                <w:rFonts w:ascii="FrutigerLTStd-Bold" w:hAnsi="FrutigerLTStd-Bold" w:cs="FrutigerLTStd-Bold"/>
                <w:b/>
                <w:bCs/>
                <w:sz w:val="16"/>
                <w:szCs w:val="16"/>
              </w:rPr>
            </w:pPr>
          </w:p>
        </w:tc>
        <w:tc>
          <w:tcPr>
            <w:tcW w:w="1417" w:type="dxa"/>
          </w:tcPr>
          <w:p w:rsidR="0020499E" w:rsidRDefault="008E27E1">
            <w:pPr>
              <w:ind w:right="-108"/>
              <w:jc w:val="left"/>
              <w:rPr>
                <w:rFonts w:ascii="FrutigerLTStd-Roman" w:hAnsi="FrutigerLTStd-Roman" w:cs="FrutigerLTStd-Roman"/>
                <w:sz w:val="16"/>
                <w:szCs w:val="16"/>
              </w:rPr>
            </w:pPr>
            <w:r>
              <w:rPr>
                <w:rFonts w:ascii="FrutigerLTStd-Roman" w:hAnsi="FrutigerLTStd-Roman" w:cs="FrutigerLTStd-Roman"/>
                <w:sz w:val="16"/>
                <w:szCs w:val="16"/>
              </w:rPr>
              <w:t>Piloted 2009.</w:t>
            </w:r>
          </w:p>
          <w:p w:rsidR="0020499E" w:rsidRDefault="008E27E1">
            <w:pPr>
              <w:ind w:right="-108"/>
              <w:jc w:val="left"/>
              <w:rPr>
                <w:rFonts w:ascii="FrutigerLTStd-Roman" w:hAnsi="FrutigerLTStd-Roman" w:cs="FrutigerLTStd-Roman"/>
                <w:sz w:val="16"/>
                <w:szCs w:val="16"/>
              </w:rPr>
            </w:pPr>
            <w:r>
              <w:rPr>
                <w:rFonts w:ascii="FrutigerLTStd-Roman" w:hAnsi="FrutigerLTStd-Roman" w:cs="FrutigerLTStd-Roman"/>
                <w:sz w:val="16"/>
                <w:szCs w:val="16"/>
              </w:rPr>
              <w:t>First round of</w:t>
            </w:r>
          </w:p>
          <w:p w:rsidR="0020499E" w:rsidRDefault="008E27E1">
            <w:pPr>
              <w:ind w:right="-108"/>
              <w:jc w:val="left"/>
              <w:rPr>
                <w:rFonts w:ascii="FrutigerLTStd-Roman" w:hAnsi="FrutigerLTStd-Roman" w:cs="FrutigerLTStd-Roman"/>
                <w:sz w:val="16"/>
                <w:szCs w:val="16"/>
              </w:rPr>
            </w:pPr>
            <w:r>
              <w:rPr>
                <w:rFonts w:ascii="FrutigerLTStd-Roman" w:hAnsi="FrutigerLTStd-Roman" w:cs="FrutigerLTStd-Roman"/>
                <w:sz w:val="16"/>
                <w:szCs w:val="16"/>
              </w:rPr>
              <w:t>assessment</w:t>
            </w:r>
          </w:p>
          <w:p w:rsidR="0020499E" w:rsidRDefault="008E27E1">
            <w:pPr>
              <w:ind w:right="-108"/>
              <w:jc w:val="left"/>
              <w:rPr>
                <w:rFonts w:ascii="FrutigerLTStd-Roman" w:hAnsi="FrutigerLTStd-Roman" w:cs="FrutigerLTStd-Roman"/>
                <w:sz w:val="16"/>
                <w:szCs w:val="16"/>
              </w:rPr>
            </w:pPr>
            <w:r>
              <w:rPr>
                <w:rFonts w:ascii="FrutigerLTStd-Roman" w:hAnsi="FrutigerLTStd-Roman" w:cs="FrutigerLTStd-Roman"/>
                <w:sz w:val="16"/>
                <w:szCs w:val="16"/>
              </w:rPr>
              <w:t>2014; resultswill</w:t>
            </w:r>
            <w:r>
              <w:rPr>
                <w:rFonts w:ascii="FrutigerLTStd-Roman" w:hAnsi="FrutigerLTStd-Roman" w:cs="FrutigerLTStd-Roman"/>
                <w:sz w:val="16"/>
                <w:szCs w:val="16"/>
              </w:rPr>
              <w:t>determinefunding</w:t>
            </w:r>
          </w:p>
          <w:p w:rsidR="0020499E" w:rsidRDefault="008E27E1">
            <w:pPr>
              <w:ind w:right="-108"/>
              <w:jc w:val="left"/>
              <w:rPr>
                <w:rFonts w:ascii="FrutigerLTStd-Bold" w:hAnsi="FrutigerLTStd-Bold" w:cs="FrutigerLTStd-Bold"/>
                <w:b/>
                <w:bCs/>
                <w:sz w:val="16"/>
                <w:szCs w:val="16"/>
              </w:rPr>
            </w:pPr>
            <w:r>
              <w:rPr>
                <w:rFonts w:ascii="FrutigerLTStd-Roman" w:hAnsi="FrutigerLTStd-Roman" w:cs="FrutigerLTStd-Roman"/>
                <w:sz w:val="16"/>
                <w:szCs w:val="16"/>
              </w:rPr>
              <w:t>allocation</w:t>
            </w:r>
          </w:p>
        </w:tc>
        <w:tc>
          <w:tcPr>
            <w:tcW w:w="1418" w:type="dxa"/>
          </w:tcPr>
          <w:p w:rsidR="0020499E" w:rsidRDefault="008E27E1">
            <w:pPr>
              <w:ind w:right="-108"/>
              <w:jc w:val="left"/>
              <w:rPr>
                <w:rFonts w:ascii="FrutigerLTStd-Roman" w:hAnsi="FrutigerLTStd-Roman" w:cs="FrutigerLTStd-Roman"/>
                <w:sz w:val="16"/>
                <w:szCs w:val="16"/>
              </w:rPr>
            </w:pPr>
            <w:r>
              <w:rPr>
                <w:rFonts w:ascii="FrutigerLTStd-Roman" w:hAnsi="FrutigerLTStd-Roman" w:cs="FrutigerLTStd-Roman"/>
                <w:sz w:val="16"/>
                <w:szCs w:val="16"/>
              </w:rPr>
              <w:t>Burden not</w:t>
            </w:r>
          </w:p>
          <w:p w:rsidR="0020499E" w:rsidRDefault="008E27E1">
            <w:pPr>
              <w:ind w:right="-108"/>
              <w:jc w:val="left"/>
              <w:rPr>
                <w:rFonts w:ascii="FrutigerLTStd-Roman" w:hAnsi="FrutigerLTStd-Roman" w:cs="FrutigerLTStd-Roman"/>
                <w:sz w:val="16"/>
                <w:szCs w:val="16"/>
              </w:rPr>
            </w:pPr>
            <w:r>
              <w:rPr>
                <w:rFonts w:ascii="FrutigerLTStd-Roman" w:hAnsi="FrutigerLTStd-Roman" w:cs="FrutigerLTStd-Roman"/>
                <w:sz w:val="16"/>
                <w:szCs w:val="16"/>
              </w:rPr>
              <w:t>reduced, but</w:t>
            </w:r>
          </w:p>
          <w:p w:rsidR="0020499E" w:rsidRDefault="008E27E1">
            <w:pPr>
              <w:ind w:right="-108"/>
              <w:jc w:val="left"/>
              <w:rPr>
                <w:rFonts w:ascii="FrutigerLTStd-Roman" w:hAnsi="FrutigerLTStd-Roman" w:cs="FrutigerLTStd-Roman"/>
                <w:sz w:val="16"/>
                <w:szCs w:val="16"/>
              </w:rPr>
            </w:pPr>
            <w:r>
              <w:rPr>
                <w:rFonts w:ascii="FrutigerLTStd-Roman" w:hAnsi="FrutigerLTStd-Roman" w:cs="FrutigerLTStd-Roman"/>
                <w:sz w:val="16"/>
                <w:szCs w:val="16"/>
              </w:rPr>
              <w:t>addswider</w:t>
            </w:r>
          </w:p>
          <w:p w:rsidR="0020499E" w:rsidRDefault="008E27E1">
            <w:pPr>
              <w:ind w:right="-108"/>
              <w:jc w:val="left"/>
              <w:rPr>
                <w:rFonts w:ascii="FrutigerLTStd-Roman" w:hAnsi="FrutigerLTStd-Roman" w:cs="FrutigerLTStd-Roman"/>
                <w:sz w:val="16"/>
                <w:szCs w:val="16"/>
              </w:rPr>
            </w:pPr>
            <w:r>
              <w:rPr>
                <w:rFonts w:ascii="FrutigerLTStd-Roman" w:hAnsi="FrutigerLTStd-Roman" w:cs="FrutigerLTStd-Roman"/>
                <w:sz w:val="16"/>
                <w:szCs w:val="16"/>
              </w:rPr>
              <w:t>impact to</w:t>
            </w:r>
          </w:p>
          <w:p w:rsidR="0020499E" w:rsidRDefault="008E27E1">
            <w:pPr>
              <w:ind w:right="-108"/>
              <w:jc w:val="left"/>
              <w:rPr>
                <w:rFonts w:ascii="FrutigerLTStd-Roman" w:hAnsi="FrutigerLTStd-Roman" w:cs="FrutigerLTStd-Roman"/>
                <w:sz w:val="16"/>
                <w:szCs w:val="16"/>
              </w:rPr>
            </w:pPr>
            <w:r>
              <w:rPr>
                <w:rFonts w:ascii="FrutigerLTStd-Roman" w:hAnsi="FrutigerLTStd-Roman" w:cs="FrutigerLTStd-Roman"/>
                <w:sz w:val="16"/>
                <w:szCs w:val="16"/>
              </w:rPr>
              <w:t>evaluation.</w:t>
            </w:r>
          </w:p>
          <w:p w:rsidR="0020499E" w:rsidRDefault="0020499E">
            <w:pPr>
              <w:ind w:right="-108"/>
              <w:jc w:val="left"/>
              <w:rPr>
                <w:rFonts w:ascii="FrutigerLTStd-Roman" w:hAnsi="FrutigerLTStd-Roman" w:cs="FrutigerLTStd-Roman"/>
                <w:sz w:val="8"/>
                <w:szCs w:val="8"/>
              </w:rPr>
            </w:pP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Originally metrics based, but this was dropped as too unpopular.</w:t>
            </w:r>
          </w:p>
          <w:p w:rsidR="0020499E" w:rsidRDefault="0020499E">
            <w:pPr>
              <w:ind w:right="-108"/>
              <w:jc w:val="left"/>
              <w:rPr>
                <w:rFonts w:ascii="FrutigerLTStd-Bold" w:hAnsi="FrutigerLTStd-Bold" w:cs="FrutigerLTStd-Bold"/>
                <w:b/>
                <w:bCs/>
                <w:sz w:val="16"/>
                <w:szCs w:val="16"/>
                <w:lang w:val="en-US"/>
              </w:rPr>
            </w:pPr>
          </w:p>
        </w:tc>
        <w:tc>
          <w:tcPr>
            <w:tcW w:w="1559" w:type="dxa"/>
          </w:tcPr>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Suitable for cross</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institutional</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assessment.</w:t>
            </w:r>
          </w:p>
          <w:p w:rsidR="0020499E" w:rsidRDefault="0020499E">
            <w:pPr>
              <w:ind w:right="-108"/>
              <w:jc w:val="left"/>
              <w:rPr>
                <w:rFonts w:ascii="FrutigerLTStd-Roman" w:hAnsi="FrutigerLTStd-Roman" w:cs="FrutigerLTStd-Roman"/>
                <w:sz w:val="8"/>
                <w:szCs w:val="8"/>
                <w:lang w:val="en-US"/>
              </w:rPr>
            </w:pP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 xml:space="preserve">High burden on institutions, and expensive, so best for </w:t>
            </w:r>
            <w:r>
              <w:rPr>
                <w:rFonts w:ascii="FrutigerLTStd-Roman" w:hAnsi="FrutigerLTStd-Roman" w:cs="FrutigerLTStd-Roman"/>
                <w:sz w:val="16"/>
                <w:szCs w:val="16"/>
                <w:lang w:val="en-US"/>
              </w:rPr>
              <w:t>significant</w:t>
            </w:r>
          </w:p>
          <w:p w:rsidR="0020499E" w:rsidRDefault="008E27E1">
            <w:pPr>
              <w:ind w:right="-108"/>
              <w:jc w:val="left"/>
              <w:rPr>
                <w:rFonts w:ascii="FrutigerLTStd-Bold" w:hAnsi="FrutigerLTStd-Bold" w:cs="FrutigerLTStd-Bold"/>
                <w:b/>
                <w:bCs/>
                <w:sz w:val="16"/>
                <w:szCs w:val="16"/>
              </w:rPr>
            </w:pPr>
            <w:r>
              <w:rPr>
                <w:rFonts w:ascii="FrutigerLTStd-Roman" w:hAnsi="FrutigerLTStd-Roman" w:cs="FrutigerLTStd-Roman"/>
                <w:sz w:val="16"/>
                <w:szCs w:val="16"/>
              </w:rPr>
              <w:t>funding allocation uses.</w:t>
            </w:r>
          </w:p>
        </w:tc>
      </w:tr>
      <w:tr w:rsidR="0020499E">
        <w:tc>
          <w:tcPr>
            <w:tcW w:w="1135" w:type="dxa"/>
          </w:tcPr>
          <w:p w:rsidR="0020499E" w:rsidRDefault="008E27E1">
            <w:pPr>
              <w:ind w:right="-108"/>
              <w:jc w:val="center"/>
              <w:rPr>
                <w:rFonts w:ascii="FrutigerLTStd-Roman" w:hAnsi="FrutigerLTStd-Roman" w:cs="FrutigerLTStd-Roman"/>
                <w:b/>
                <w:sz w:val="16"/>
                <w:szCs w:val="16"/>
              </w:rPr>
            </w:pPr>
            <w:r>
              <w:rPr>
                <w:rFonts w:ascii="FrutigerLTStd-Roman" w:hAnsi="FrutigerLTStd-Roman" w:cs="FrutigerLTStd-Roman"/>
                <w:b/>
                <w:sz w:val="16"/>
                <w:szCs w:val="16"/>
              </w:rPr>
              <w:t>US:</w:t>
            </w:r>
          </w:p>
          <w:p w:rsidR="0020499E" w:rsidRDefault="0020499E">
            <w:pPr>
              <w:ind w:right="-108"/>
              <w:jc w:val="center"/>
              <w:rPr>
                <w:rFonts w:ascii="FrutigerLTStd-Roman" w:hAnsi="FrutigerLTStd-Roman" w:cs="FrutigerLTStd-Roman"/>
                <w:b/>
                <w:sz w:val="16"/>
                <w:szCs w:val="16"/>
              </w:rPr>
            </w:pPr>
          </w:p>
          <w:p w:rsidR="0020499E" w:rsidRDefault="008E27E1">
            <w:pPr>
              <w:ind w:right="-108"/>
              <w:jc w:val="center"/>
              <w:rPr>
                <w:rFonts w:ascii="FrutigerLTStd-Roman" w:hAnsi="FrutigerLTStd-Roman" w:cs="FrutigerLTStd-Roman"/>
                <w:b/>
                <w:sz w:val="16"/>
                <w:szCs w:val="16"/>
              </w:rPr>
            </w:pPr>
            <w:r>
              <w:rPr>
                <w:rFonts w:ascii="FrutigerLTStd-Roman" w:hAnsi="FrutigerLTStd-Roman" w:cs="FrutigerLTStd-Roman"/>
                <w:b/>
                <w:sz w:val="16"/>
                <w:szCs w:val="16"/>
              </w:rPr>
              <w:t>STAR</w:t>
            </w:r>
          </w:p>
          <w:p w:rsidR="0020499E" w:rsidRDefault="008E27E1">
            <w:pPr>
              <w:ind w:right="-108"/>
              <w:jc w:val="center"/>
              <w:rPr>
                <w:rFonts w:ascii="FrutigerLTStd-Bold" w:hAnsi="FrutigerLTStd-Bold" w:cs="FrutigerLTStd-Bold"/>
                <w:b/>
                <w:bCs/>
                <w:sz w:val="16"/>
                <w:szCs w:val="16"/>
              </w:rPr>
            </w:pPr>
            <w:r>
              <w:rPr>
                <w:rFonts w:ascii="FrutigerLTStd-Roman" w:hAnsi="FrutigerLTStd-Roman" w:cs="FrutigerLTStd-Roman"/>
                <w:b/>
                <w:sz w:val="16"/>
                <w:szCs w:val="16"/>
              </w:rPr>
              <w:t>METRICS</w:t>
            </w:r>
          </w:p>
        </w:tc>
        <w:tc>
          <w:tcPr>
            <w:tcW w:w="1417" w:type="dxa"/>
          </w:tcPr>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Minimize burden</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on academics.</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Meet US federal</w:t>
            </w:r>
          </w:p>
          <w:p w:rsidR="0020499E" w:rsidRDefault="008E27E1">
            <w:pPr>
              <w:ind w:right="-108"/>
              <w:jc w:val="left"/>
              <w:rPr>
                <w:rFonts w:ascii="FrutigerLTStd-Roman" w:hAnsi="FrutigerLTStd-Roman" w:cs="FrutigerLTStd-Roman"/>
                <w:sz w:val="16"/>
                <w:szCs w:val="16"/>
              </w:rPr>
            </w:pPr>
            <w:r>
              <w:rPr>
                <w:rFonts w:ascii="FrutigerLTStd-Roman" w:hAnsi="FrutigerLTStd-Roman" w:cs="FrutigerLTStd-Roman"/>
                <w:sz w:val="16"/>
                <w:szCs w:val="16"/>
              </w:rPr>
              <w:t>accountability</w:t>
            </w:r>
          </w:p>
          <w:p w:rsidR="0020499E" w:rsidRDefault="008E27E1">
            <w:pPr>
              <w:ind w:right="-108"/>
              <w:jc w:val="left"/>
              <w:rPr>
                <w:rFonts w:ascii="FrutigerLTStd-Roman" w:hAnsi="FrutigerLTStd-Roman" w:cs="FrutigerLTStd-Roman"/>
                <w:sz w:val="16"/>
                <w:szCs w:val="16"/>
              </w:rPr>
            </w:pPr>
            <w:r>
              <w:rPr>
                <w:rFonts w:ascii="FrutigerLTStd-Roman" w:hAnsi="FrutigerLTStd-Roman" w:cs="FrutigerLTStd-Roman"/>
                <w:sz w:val="16"/>
                <w:szCs w:val="16"/>
              </w:rPr>
              <w:t>requirements.</w:t>
            </w:r>
          </w:p>
          <w:p w:rsidR="0020499E" w:rsidRDefault="0020499E">
            <w:pPr>
              <w:ind w:right="-108"/>
              <w:jc w:val="left"/>
              <w:rPr>
                <w:rFonts w:ascii="FrutigerLTStd-Bold" w:hAnsi="FrutigerLTStd-Bold" w:cs="FrutigerLTStd-Bold"/>
                <w:b/>
                <w:bCs/>
                <w:sz w:val="16"/>
                <w:szCs w:val="16"/>
              </w:rPr>
            </w:pPr>
          </w:p>
        </w:tc>
        <w:tc>
          <w:tcPr>
            <w:tcW w:w="1418" w:type="dxa"/>
          </w:tcPr>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 xml:space="preserve">Two levels: </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Level 1, number of jobs supported;</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Level 2, range of</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research funded</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researcher</w:t>
            </w:r>
          </w:p>
          <w:p w:rsidR="0020499E" w:rsidRDefault="008E27E1">
            <w:pPr>
              <w:ind w:right="-108"/>
              <w:jc w:val="left"/>
              <w:rPr>
                <w:rFonts w:ascii="FrutigerLTStd-Roman" w:hAnsi="FrutigerLTStd-Roman" w:cs="FrutigerLTStd-Roman"/>
                <w:sz w:val="16"/>
                <w:szCs w:val="16"/>
              </w:rPr>
            </w:pPr>
            <w:r>
              <w:rPr>
                <w:rFonts w:ascii="FrutigerLTStd-Roman" w:hAnsi="FrutigerLTStd-Roman" w:cs="FrutigerLTStd-Roman"/>
                <w:sz w:val="16"/>
                <w:szCs w:val="16"/>
              </w:rPr>
              <w:t>interactions and</w:t>
            </w:r>
          </w:p>
          <w:p w:rsidR="0020499E" w:rsidRDefault="008E27E1">
            <w:pPr>
              <w:ind w:right="-108"/>
              <w:jc w:val="left"/>
              <w:rPr>
                <w:rFonts w:ascii="FrutigerLTStd-Bold" w:hAnsi="FrutigerLTStd-Bold" w:cs="FrutigerLTStd-Bold"/>
                <w:b/>
                <w:bCs/>
                <w:sz w:val="16"/>
                <w:szCs w:val="16"/>
              </w:rPr>
            </w:pPr>
            <w:r>
              <w:rPr>
                <w:rFonts w:ascii="FrutigerLTStd-Roman" w:hAnsi="FrutigerLTStd-Roman" w:cs="FrutigerLTStd-Roman"/>
                <w:sz w:val="16"/>
                <w:szCs w:val="16"/>
              </w:rPr>
              <w:t>wider impacts.</w:t>
            </w:r>
          </w:p>
        </w:tc>
        <w:tc>
          <w:tcPr>
            <w:tcW w:w="1559" w:type="dxa"/>
          </w:tcPr>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Data mining</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approach, automated.</w:t>
            </w:r>
          </w:p>
          <w:p w:rsidR="0020499E" w:rsidRDefault="0020499E">
            <w:pPr>
              <w:ind w:right="-108"/>
              <w:jc w:val="left"/>
              <w:rPr>
                <w:rFonts w:ascii="FrutigerLTStd-Roman" w:hAnsi="FrutigerLTStd-Roman" w:cs="FrutigerLTStd-Roman"/>
                <w:sz w:val="8"/>
                <w:szCs w:val="8"/>
                <w:lang w:val="en-US"/>
              </w:rPr>
            </w:pP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At present, only gathers jobs data.</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Methodologies</w:t>
            </w:r>
          </w:p>
          <w:p w:rsidR="0020499E" w:rsidRDefault="008E27E1">
            <w:pPr>
              <w:ind w:right="-108"/>
              <w:jc w:val="left"/>
              <w:rPr>
                <w:rFonts w:ascii="FrutigerLTStd-Bold" w:hAnsi="FrutigerLTStd-Bold" w:cs="FrutigerLTStd-Bold"/>
                <w:b/>
                <w:bCs/>
                <w:sz w:val="16"/>
                <w:szCs w:val="16"/>
                <w:lang w:val="en-US"/>
              </w:rPr>
            </w:pPr>
            <w:r>
              <w:rPr>
                <w:rFonts w:ascii="FrutigerLTStd-Roman" w:hAnsi="FrutigerLTStd-Roman" w:cs="FrutigerLTStd-Roman"/>
                <w:sz w:val="16"/>
                <w:szCs w:val="16"/>
                <w:lang w:val="en-US"/>
              </w:rPr>
              <w:t>for Level 2 still being developed.</w:t>
            </w:r>
          </w:p>
        </w:tc>
        <w:tc>
          <w:tcPr>
            <w:tcW w:w="1417" w:type="dxa"/>
          </w:tcPr>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Voluntary</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participation</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so full coverage</w:t>
            </w:r>
          </w:p>
          <w:p w:rsidR="0020499E" w:rsidRDefault="008E27E1">
            <w:pPr>
              <w:ind w:right="-108"/>
              <w:jc w:val="left"/>
              <w:rPr>
                <w:rFonts w:ascii="FrutigerLTStd-Bold" w:hAnsi="FrutigerLTStd-Bold" w:cs="FrutigerLTStd-Bold"/>
                <w:b/>
                <w:bCs/>
                <w:sz w:val="16"/>
                <w:szCs w:val="16"/>
                <w:lang w:val="en-US"/>
              </w:rPr>
            </w:pPr>
            <w:r>
              <w:rPr>
                <w:rFonts w:ascii="FrutigerLTStd-Roman" w:hAnsi="FrutigerLTStd-Roman" w:cs="FrutigerLTStd-Roman"/>
                <w:sz w:val="16"/>
                <w:szCs w:val="16"/>
                <w:lang w:val="en-US"/>
              </w:rPr>
              <w:t>unlikely.</w:t>
            </w:r>
          </w:p>
        </w:tc>
        <w:tc>
          <w:tcPr>
            <w:tcW w:w="1418" w:type="dxa"/>
          </w:tcPr>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Feedback</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generally</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positive, but</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feasibility of</w:t>
            </w:r>
          </w:p>
          <w:p w:rsidR="0020499E" w:rsidRDefault="008E27E1">
            <w:pPr>
              <w:ind w:right="-108"/>
              <w:jc w:val="left"/>
              <w:rPr>
                <w:rFonts w:ascii="FrutigerLTStd-Roman" w:hAnsi="FrutigerLTStd-Roman" w:cs="FrutigerLTStd-Roman"/>
                <w:sz w:val="16"/>
                <w:szCs w:val="16"/>
              </w:rPr>
            </w:pPr>
            <w:r>
              <w:rPr>
                <w:rFonts w:ascii="FrutigerLTStd-Roman" w:hAnsi="FrutigerLTStd-Roman" w:cs="FrutigerLTStd-Roman"/>
                <w:sz w:val="16"/>
                <w:szCs w:val="16"/>
              </w:rPr>
              <w:t>Level 2 not</w:t>
            </w:r>
          </w:p>
          <w:p w:rsidR="0020499E" w:rsidRDefault="008E27E1">
            <w:pPr>
              <w:ind w:right="-108"/>
              <w:jc w:val="left"/>
              <w:rPr>
                <w:rFonts w:ascii="FrutigerLTStd-Roman" w:hAnsi="FrutigerLTStd-Roman" w:cs="FrutigerLTStd-Roman"/>
                <w:sz w:val="16"/>
                <w:szCs w:val="16"/>
              </w:rPr>
            </w:pPr>
            <w:r>
              <w:rPr>
                <w:rFonts w:ascii="FrutigerLTStd-Roman" w:hAnsi="FrutigerLTStd-Roman" w:cs="FrutigerLTStd-Roman"/>
                <w:sz w:val="16"/>
                <w:szCs w:val="16"/>
              </w:rPr>
              <w:t>proven.</w:t>
            </w:r>
          </w:p>
          <w:p w:rsidR="0020499E" w:rsidRDefault="0020499E">
            <w:pPr>
              <w:ind w:right="-108"/>
              <w:jc w:val="left"/>
              <w:rPr>
                <w:rFonts w:ascii="FrutigerLTStd-Bold" w:hAnsi="FrutigerLTStd-Bold" w:cs="FrutigerLTStd-Bold"/>
                <w:b/>
                <w:bCs/>
                <w:sz w:val="16"/>
                <w:szCs w:val="16"/>
              </w:rPr>
            </w:pPr>
          </w:p>
        </w:tc>
        <w:tc>
          <w:tcPr>
            <w:tcW w:w="1559" w:type="dxa"/>
          </w:tcPr>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Potentially very</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wide depending</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on success of</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 xml:space="preserve">Level 2. </w:t>
            </w:r>
          </w:p>
          <w:p w:rsidR="0020499E" w:rsidRDefault="0020499E">
            <w:pPr>
              <w:ind w:right="-108"/>
              <w:jc w:val="left"/>
              <w:rPr>
                <w:rFonts w:ascii="FrutigerLTStd-Roman" w:hAnsi="FrutigerLTStd-Roman" w:cs="FrutigerLTStd-Roman"/>
                <w:sz w:val="8"/>
                <w:szCs w:val="8"/>
                <w:lang w:val="en-US"/>
              </w:rPr>
            </w:pP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There has been</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international</w:t>
            </w:r>
          </w:p>
          <w:p w:rsidR="0020499E" w:rsidRDefault="008E27E1">
            <w:pPr>
              <w:ind w:right="-108"/>
              <w:jc w:val="left"/>
              <w:rPr>
                <w:rFonts w:ascii="FrutigerLTStd-Bold" w:hAnsi="FrutigerLTStd-Bold" w:cs="FrutigerLTStd-Bold"/>
                <w:b/>
                <w:bCs/>
                <w:sz w:val="16"/>
                <w:szCs w:val="16"/>
                <w:lang w:val="en-US"/>
              </w:rPr>
            </w:pPr>
            <w:r>
              <w:rPr>
                <w:rFonts w:ascii="FrutigerLTStd-Roman" w:hAnsi="FrutigerLTStd-Roman" w:cs="FrutigerLTStd-Roman"/>
                <w:sz w:val="16"/>
                <w:szCs w:val="16"/>
                <w:lang w:val="en-US"/>
              </w:rPr>
              <w:t>interest, eg from Japan, EC.</w:t>
            </w:r>
          </w:p>
        </w:tc>
      </w:tr>
      <w:tr w:rsidR="0020499E">
        <w:tc>
          <w:tcPr>
            <w:tcW w:w="1135" w:type="dxa"/>
          </w:tcPr>
          <w:p w:rsidR="0020499E" w:rsidRDefault="008E27E1">
            <w:pPr>
              <w:ind w:right="-108"/>
              <w:jc w:val="center"/>
              <w:rPr>
                <w:rFonts w:ascii="FrutigerLTStd-Roman" w:hAnsi="FrutigerLTStd-Roman" w:cs="FrutigerLTStd-Roman"/>
                <w:b/>
                <w:sz w:val="16"/>
                <w:szCs w:val="16"/>
                <w:lang w:val="en-US"/>
              </w:rPr>
            </w:pPr>
            <w:r>
              <w:rPr>
                <w:rFonts w:ascii="FrutigerLTStd-Roman" w:hAnsi="FrutigerLTStd-Roman" w:cs="FrutigerLTStd-Roman"/>
                <w:b/>
                <w:sz w:val="16"/>
                <w:szCs w:val="16"/>
                <w:lang w:val="en-US"/>
              </w:rPr>
              <w:t>Australia:</w:t>
            </w:r>
          </w:p>
          <w:p w:rsidR="0020499E" w:rsidRDefault="0020499E">
            <w:pPr>
              <w:ind w:right="-108"/>
              <w:jc w:val="center"/>
              <w:rPr>
                <w:rFonts w:ascii="FrutigerLTStd-Roman" w:hAnsi="FrutigerLTStd-Roman" w:cs="FrutigerLTStd-Roman"/>
                <w:b/>
                <w:sz w:val="16"/>
                <w:szCs w:val="16"/>
                <w:lang w:val="en-US"/>
              </w:rPr>
            </w:pPr>
          </w:p>
          <w:p w:rsidR="0020499E" w:rsidRDefault="008E27E1">
            <w:pPr>
              <w:ind w:right="-108"/>
              <w:jc w:val="center"/>
              <w:rPr>
                <w:rFonts w:ascii="FrutigerLTStd-Roman" w:hAnsi="FrutigerLTStd-Roman" w:cs="FrutigerLTStd-Roman"/>
                <w:b/>
                <w:sz w:val="16"/>
                <w:szCs w:val="16"/>
                <w:lang w:val="en-US"/>
              </w:rPr>
            </w:pPr>
            <w:r>
              <w:rPr>
                <w:rFonts w:ascii="FrutigerLTStd-Roman" w:hAnsi="FrutigerLTStd-Roman" w:cs="FrutigerLTStd-Roman"/>
                <w:b/>
                <w:sz w:val="16"/>
                <w:szCs w:val="16"/>
                <w:lang w:val="en-US"/>
              </w:rPr>
              <w:t>Excellence</w:t>
            </w:r>
          </w:p>
          <w:p w:rsidR="0020499E" w:rsidRDefault="008E27E1">
            <w:pPr>
              <w:ind w:right="-108"/>
              <w:jc w:val="center"/>
              <w:rPr>
                <w:rFonts w:ascii="FrutigerLTStd-Roman" w:hAnsi="FrutigerLTStd-Roman" w:cs="FrutigerLTStd-Roman"/>
                <w:b/>
                <w:sz w:val="16"/>
                <w:szCs w:val="16"/>
                <w:lang w:val="en-US"/>
              </w:rPr>
            </w:pPr>
            <w:r>
              <w:rPr>
                <w:rFonts w:ascii="FrutigerLTStd-Roman" w:hAnsi="FrutigerLTStd-Roman" w:cs="FrutigerLTStd-Roman"/>
                <w:b/>
                <w:sz w:val="16"/>
                <w:szCs w:val="16"/>
                <w:lang w:val="en-US"/>
              </w:rPr>
              <w:t>in Research</w:t>
            </w:r>
          </w:p>
          <w:p w:rsidR="0020499E" w:rsidRDefault="008E27E1">
            <w:pPr>
              <w:ind w:right="-108"/>
              <w:jc w:val="center"/>
              <w:rPr>
                <w:rFonts w:ascii="FrutigerLTStd-Roman" w:hAnsi="FrutigerLTStd-Roman" w:cs="FrutigerLTStd-Roman"/>
                <w:b/>
                <w:sz w:val="16"/>
                <w:szCs w:val="16"/>
                <w:lang w:val="en-US"/>
              </w:rPr>
            </w:pPr>
            <w:r>
              <w:rPr>
                <w:rFonts w:ascii="FrutigerLTStd-Roman" w:hAnsi="FrutigerLTStd-Roman" w:cs="FrutigerLTStd-Roman"/>
                <w:b/>
                <w:sz w:val="16"/>
                <w:szCs w:val="16"/>
                <w:lang w:val="en-US"/>
              </w:rPr>
              <w:t>for Australia</w:t>
            </w:r>
          </w:p>
          <w:p w:rsidR="0020499E" w:rsidRDefault="008E27E1">
            <w:pPr>
              <w:ind w:right="-108"/>
              <w:jc w:val="center"/>
              <w:rPr>
                <w:rFonts w:ascii="FrutigerLTStd-Roman" w:hAnsi="FrutigerLTStd-Roman" w:cs="FrutigerLTStd-Roman"/>
                <w:b/>
                <w:sz w:val="16"/>
                <w:szCs w:val="16"/>
              </w:rPr>
            </w:pPr>
            <w:r>
              <w:rPr>
                <w:rFonts w:ascii="FrutigerLTStd-Roman" w:hAnsi="FrutigerLTStd-Roman" w:cs="FrutigerLTStd-Roman"/>
                <w:b/>
                <w:sz w:val="16"/>
                <w:szCs w:val="16"/>
              </w:rPr>
              <w:t>(ERA)</w:t>
            </w:r>
          </w:p>
          <w:p w:rsidR="0020499E" w:rsidRDefault="0020499E">
            <w:pPr>
              <w:ind w:right="-108"/>
              <w:jc w:val="center"/>
              <w:rPr>
                <w:rFonts w:ascii="FrutigerLTStd-Roman" w:hAnsi="FrutigerLTStd-Roman" w:cs="FrutigerLTStd-Roman"/>
                <w:b/>
                <w:sz w:val="16"/>
                <w:szCs w:val="16"/>
              </w:rPr>
            </w:pPr>
          </w:p>
          <w:p w:rsidR="0020499E" w:rsidRDefault="0020499E">
            <w:pPr>
              <w:ind w:right="-108"/>
              <w:jc w:val="center"/>
              <w:rPr>
                <w:rFonts w:ascii="FrutigerLTStd-Bold" w:hAnsi="FrutigerLTStd-Bold" w:cs="FrutigerLTStd-Bold"/>
                <w:b/>
                <w:bCs/>
                <w:sz w:val="16"/>
                <w:szCs w:val="16"/>
              </w:rPr>
            </w:pPr>
          </w:p>
        </w:tc>
        <w:tc>
          <w:tcPr>
            <w:tcW w:w="1417" w:type="dxa"/>
          </w:tcPr>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Include</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assessment</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of quality in block funding allocation</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(previously volume only).</w:t>
            </w:r>
          </w:p>
          <w:p w:rsidR="0020499E" w:rsidRDefault="0020499E">
            <w:pPr>
              <w:ind w:right="-108"/>
              <w:jc w:val="left"/>
              <w:rPr>
                <w:rFonts w:ascii="FrutigerLTStd-Roman" w:hAnsi="FrutigerLTStd-Roman" w:cs="FrutigerLTStd-Roman"/>
                <w:sz w:val="8"/>
                <w:szCs w:val="8"/>
                <w:lang w:val="en-US"/>
              </w:rPr>
            </w:pP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 xml:space="preserve">Advocacy </w:t>
            </w:r>
            <w:r>
              <w:rPr>
                <w:rFonts w:ascii="FrutigerLTStd-Roman" w:hAnsi="FrutigerLTStd-Roman" w:cs="FrutigerLTStd-Roman"/>
                <w:sz w:val="16"/>
                <w:szCs w:val="16"/>
                <w:lang w:val="en-US"/>
              </w:rPr>
              <w:t>purpose to demonstrate</w:t>
            </w:r>
          </w:p>
          <w:p w:rsidR="0020499E" w:rsidRDefault="008E27E1">
            <w:pPr>
              <w:ind w:right="-108"/>
              <w:jc w:val="left"/>
              <w:rPr>
                <w:rFonts w:ascii="FrutigerLTStd-Bold" w:hAnsi="FrutigerLTStd-Bold" w:cs="FrutigerLTStd-Bold"/>
                <w:b/>
                <w:bCs/>
                <w:sz w:val="16"/>
                <w:szCs w:val="16"/>
              </w:rPr>
            </w:pPr>
            <w:r>
              <w:rPr>
                <w:rFonts w:ascii="FrutigerLTStd-Roman" w:hAnsi="FrutigerLTStd-Roman" w:cs="FrutigerLTStd-Roman"/>
                <w:sz w:val="16"/>
                <w:szCs w:val="16"/>
              </w:rPr>
              <w:t>quality of research</w:t>
            </w:r>
          </w:p>
        </w:tc>
        <w:tc>
          <w:tcPr>
            <w:tcW w:w="1418" w:type="dxa"/>
          </w:tcPr>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Assesses quality, volume, application of research (impact), and measures of</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esteem for</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all Australian</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universities at</w:t>
            </w:r>
          </w:p>
          <w:p w:rsidR="0020499E" w:rsidRDefault="008E27E1">
            <w:pPr>
              <w:ind w:right="-108"/>
              <w:jc w:val="left"/>
              <w:rPr>
                <w:rFonts w:ascii="FrutigerLTStd-Bold" w:hAnsi="FrutigerLTStd-Bold" w:cs="FrutigerLTStd-Bold"/>
                <w:b/>
                <w:bCs/>
                <w:sz w:val="16"/>
                <w:szCs w:val="16"/>
                <w:lang w:val="en-US"/>
              </w:rPr>
            </w:pPr>
            <w:r>
              <w:rPr>
                <w:rFonts w:ascii="FrutigerLTStd-Roman" w:hAnsi="FrutigerLTStd-Roman" w:cs="FrutigerLTStd-Roman"/>
                <w:sz w:val="16"/>
                <w:szCs w:val="16"/>
                <w:lang w:val="en-US"/>
              </w:rPr>
              <w:t>disciplinary level.</w:t>
            </w:r>
          </w:p>
        </w:tc>
        <w:tc>
          <w:tcPr>
            <w:tcW w:w="1559" w:type="dxa"/>
          </w:tcPr>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Indicator approach;</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uses those</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appropriate at disciplinary level.</w:t>
            </w:r>
          </w:p>
          <w:p w:rsidR="0020499E" w:rsidRDefault="0020499E">
            <w:pPr>
              <w:ind w:right="-108"/>
              <w:jc w:val="left"/>
              <w:rPr>
                <w:rFonts w:ascii="FrutigerLTStd-Roman" w:hAnsi="FrutigerLTStd-Roman" w:cs="FrutigerLTStd-Roman"/>
                <w:sz w:val="8"/>
                <w:szCs w:val="8"/>
                <w:lang w:val="en-US"/>
              </w:rPr>
            </w:pP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Dashboard</w:t>
            </w:r>
          </w:p>
          <w:p w:rsidR="0020499E" w:rsidRDefault="008E27E1">
            <w:pPr>
              <w:ind w:right="-108"/>
              <w:jc w:val="left"/>
              <w:rPr>
                <w:rFonts w:ascii="FrutigerLTStd-Bold" w:hAnsi="FrutigerLTStd-Bold" w:cs="FrutigerLTStd-Bold"/>
                <w:b/>
                <w:bCs/>
                <w:sz w:val="16"/>
                <w:szCs w:val="16"/>
                <w:lang w:val="en-US"/>
              </w:rPr>
            </w:pPr>
            <w:r>
              <w:rPr>
                <w:rFonts w:ascii="FrutigerLTStd-Roman" w:hAnsi="FrutigerLTStd-Roman" w:cs="FrutigerLTStd-Roman"/>
                <w:sz w:val="16"/>
                <w:szCs w:val="16"/>
                <w:lang w:val="en-US"/>
              </w:rPr>
              <w:t>provided for review by expert panel.</w:t>
            </w:r>
          </w:p>
        </w:tc>
        <w:tc>
          <w:tcPr>
            <w:tcW w:w="1417" w:type="dxa"/>
          </w:tcPr>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First round in</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2010, broadly</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successful.</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Next round 2012, with minor changes.</w:t>
            </w:r>
          </w:p>
          <w:p w:rsidR="0020499E" w:rsidRDefault="0020499E">
            <w:pPr>
              <w:ind w:right="-108"/>
              <w:jc w:val="left"/>
              <w:rPr>
                <w:rFonts w:ascii="FrutigerLTStd-Roman" w:hAnsi="FrutigerLTStd-Roman" w:cs="FrutigerLTStd-Roman"/>
                <w:sz w:val="8"/>
                <w:szCs w:val="8"/>
                <w:lang w:val="en-US"/>
              </w:rPr>
            </w:pPr>
          </w:p>
          <w:p w:rsidR="0020499E" w:rsidRDefault="008E27E1">
            <w:pPr>
              <w:ind w:right="-108"/>
              <w:jc w:val="left"/>
              <w:rPr>
                <w:rFonts w:ascii="FrutigerLTStd-Bold" w:hAnsi="FrutigerLTStd-Bold" w:cs="FrutigerLTStd-Bold"/>
                <w:b/>
                <w:bCs/>
                <w:sz w:val="16"/>
                <w:szCs w:val="16"/>
                <w:lang w:val="en-US"/>
              </w:rPr>
            </w:pPr>
            <w:r>
              <w:rPr>
                <w:rFonts w:ascii="FrutigerLTStd-Roman" w:hAnsi="FrutigerLTStd-Roman" w:cs="FrutigerLTStd-Roman"/>
                <w:sz w:val="16"/>
                <w:szCs w:val="16"/>
                <w:lang w:val="en-US"/>
              </w:rPr>
              <w:t>Intended for funding allocation, but not used for this as yet.</w:t>
            </w:r>
          </w:p>
        </w:tc>
        <w:tc>
          <w:tcPr>
            <w:tcW w:w="1418" w:type="dxa"/>
          </w:tcPr>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Broadly positive</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reception.</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Meets aims,</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and burden</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not too great.</w:t>
            </w:r>
          </w:p>
          <w:p w:rsidR="0020499E" w:rsidRDefault="0020499E">
            <w:pPr>
              <w:ind w:right="-108"/>
              <w:jc w:val="left"/>
              <w:rPr>
                <w:rFonts w:ascii="FrutigerLTStd-Roman" w:hAnsi="FrutigerLTStd-Roman" w:cs="FrutigerLTStd-Roman"/>
                <w:sz w:val="8"/>
                <w:szCs w:val="8"/>
                <w:lang w:val="en-US"/>
              </w:rPr>
            </w:pP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Limitation is</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the availability</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of appropriate</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indicators.</w:t>
            </w:r>
          </w:p>
          <w:p w:rsidR="0020499E" w:rsidRDefault="0020499E">
            <w:pPr>
              <w:ind w:right="-108"/>
              <w:jc w:val="left"/>
              <w:rPr>
                <w:rFonts w:ascii="FrutigerLTStd-Bold" w:hAnsi="FrutigerLTStd-Bold" w:cs="FrutigerLTStd-Bold"/>
                <w:b/>
                <w:bCs/>
                <w:sz w:val="16"/>
                <w:szCs w:val="16"/>
                <w:lang w:val="en-US"/>
              </w:rPr>
            </w:pPr>
          </w:p>
        </w:tc>
        <w:tc>
          <w:tcPr>
            <w:tcW w:w="1559" w:type="dxa"/>
          </w:tcPr>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Should be widely</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applicable;</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criticism limited</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in Australian</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context.</w:t>
            </w:r>
          </w:p>
          <w:p w:rsidR="0020499E" w:rsidRDefault="0020499E">
            <w:pPr>
              <w:ind w:right="-108"/>
              <w:jc w:val="left"/>
              <w:rPr>
                <w:rFonts w:ascii="FrutigerLTStd-Roman" w:hAnsi="FrutigerLTStd-Roman" w:cs="FrutigerLTStd-Roman"/>
                <w:sz w:val="8"/>
                <w:szCs w:val="8"/>
                <w:lang w:val="en-US"/>
              </w:rPr>
            </w:pP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Implementation</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appears to have</w:t>
            </w:r>
          </w:p>
          <w:p w:rsidR="0020499E" w:rsidRDefault="008E27E1">
            <w:pPr>
              <w:ind w:right="-108"/>
              <w:jc w:val="left"/>
              <w:rPr>
                <w:rFonts w:ascii="FrutigerLTStd-Roman" w:hAnsi="FrutigerLTStd-Roman" w:cs="FrutigerLTStd-Roman"/>
                <w:sz w:val="16"/>
                <w:szCs w:val="16"/>
              </w:rPr>
            </w:pPr>
            <w:r>
              <w:rPr>
                <w:rFonts w:ascii="FrutigerLTStd-Roman" w:hAnsi="FrutigerLTStd-Roman" w:cs="FrutigerLTStd-Roman"/>
                <w:sz w:val="16"/>
                <w:szCs w:val="16"/>
              </w:rPr>
              <w:t>been fairly</w:t>
            </w:r>
          </w:p>
          <w:p w:rsidR="0020499E" w:rsidRDefault="008E27E1">
            <w:pPr>
              <w:ind w:right="-108"/>
              <w:rPr>
                <w:rFonts w:ascii="FrutigerLTStd-Bold" w:hAnsi="FrutigerLTStd-Bold" w:cs="FrutigerLTStd-Bold"/>
                <w:b/>
                <w:bCs/>
                <w:sz w:val="16"/>
                <w:szCs w:val="16"/>
              </w:rPr>
            </w:pPr>
            <w:r>
              <w:rPr>
                <w:rFonts w:ascii="FrutigerLTStd-Roman" w:hAnsi="FrutigerLTStd-Roman" w:cs="FrutigerLTStd-Roman"/>
                <w:sz w:val="16"/>
                <w:szCs w:val="16"/>
              </w:rPr>
              <w:t>straightforward.</w:t>
            </w:r>
          </w:p>
        </w:tc>
      </w:tr>
      <w:tr w:rsidR="0020499E">
        <w:tc>
          <w:tcPr>
            <w:tcW w:w="1135" w:type="dxa"/>
          </w:tcPr>
          <w:p w:rsidR="0020499E" w:rsidRDefault="008E27E1">
            <w:pPr>
              <w:ind w:right="-108"/>
              <w:jc w:val="center"/>
              <w:rPr>
                <w:rFonts w:ascii="FrutigerLTStd-Roman" w:hAnsi="FrutigerLTStd-Roman" w:cs="FrutigerLTStd-Roman"/>
                <w:b/>
                <w:sz w:val="16"/>
                <w:szCs w:val="16"/>
                <w:lang w:val="en-US"/>
              </w:rPr>
            </w:pPr>
            <w:r>
              <w:rPr>
                <w:rFonts w:ascii="FrutigerLTStd-Roman" w:hAnsi="FrutigerLTStd-Roman" w:cs="FrutigerLTStd-Roman"/>
                <w:b/>
                <w:sz w:val="16"/>
                <w:szCs w:val="16"/>
                <w:lang w:val="en-US"/>
              </w:rPr>
              <w:t>Canada</w:t>
            </w:r>
          </w:p>
          <w:p w:rsidR="0020499E" w:rsidRDefault="0020499E">
            <w:pPr>
              <w:ind w:right="-108"/>
              <w:jc w:val="center"/>
              <w:rPr>
                <w:rFonts w:ascii="FrutigerLTStd-Roman" w:hAnsi="FrutigerLTStd-Roman" w:cs="FrutigerLTStd-Roman"/>
                <w:b/>
                <w:sz w:val="16"/>
                <w:szCs w:val="16"/>
                <w:lang w:val="en-US"/>
              </w:rPr>
            </w:pPr>
          </w:p>
          <w:p w:rsidR="0020499E" w:rsidRDefault="008E27E1">
            <w:pPr>
              <w:ind w:right="-108"/>
              <w:jc w:val="center"/>
              <w:rPr>
                <w:rFonts w:ascii="FrutigerLTStd-Roman" w:hAnsi="FrutigerLTStd-Roman" w:cs="FrutigerLTStd-Roman"/>
                <w:b/>
                <w:sz w:val="16"/>
                <w:szCs w:val="16"/>
                <w:lang w:val="en-US"/>
              </w:rPr>
            </w:pPr>
            <w:r>
              <w:rPr>
                <w:rFonts w:ascii="FrutigerLTStd-Roman" w:hAnsi="FrutigerLTStd-Roman" w:cs="FrutigerLTStd-Roman"/>
                <w:b/>
                <w:sz w:val="16"/>
                <w:szCs w:val="16"/>
                <w:lang w:val="en-US"/>
              </w:rPr>
              <w:t>Canadian</w:t>
            </w:r>
          </w:p>
          <w:p w:rsidR="0020499E" w:rsidRDefault="008E27E1">
            <w:pPr>
              <w:ind w:right="-108"/>
              <w:jc w:val="center"/>
              <w:rPr>
                <w:rFonts w:ascii="FrutigerLTStd-Roman" w:hAnsi="FrutigerLTStd-Roman" w:cs="FrutigerLTStd-Roman"/>
                <w:b/>
                <w:sz w:val="16"/>
                <w:szCs w:val="16"/>
                <w:lang w:val="en-US"/>
              </w:rPr>
            </w:pPr>
            <w:r>
              <w:rPr>
                <w:rFonts w:ascii="FrutigerLTStd-Roman" w:hAnsi="FrutigerLTStd-Roman" w:cs="FrutigerLTStd-Roman"/>
                <w:b/>
                <w:sz w:val="16"/>
                <w:szCs w:val="16"/>
                <w:lang w:val="en-US"/>
              </w:rPr>
              <w:t>Academy</w:t>
            </w:r>
          </w:p>
          <w:p w:rsidR="0020499E" w:rsidRDefault="008E27E1">
            <w:pPr>
              <w:ind w:right="-108"/>
              <w:jc w:val="center"/>
              <w:rPr>
                <w:rFonts w:ascii="FrutigerLTStd-Roman" w:hAnsi="FrutigerLTStd-Roman" w:cs="FrutigerLTStd-Roman"/>
                <w:b/>
                <w:sz w:val="16"/>
                <w:szCs w:val="16"/>
                <w:lang w:val="en-US"/>
              </w:rPr>
            </w:pPr>
            <w:r>
              <w:rPr>
                <w:rFonts w:ascii="FrutigerLTStd-Roman" w:hAnsi="FrutigerLTStd-Roman" w:cs="FrutigerLTStd-Roman"/>
                <w:b/>
                <w:sz w:val="16"/>
                <w:szCs w:val="16"/>
                <w:lang w:val="en-US"/>
              </w:rPr>
              <w:t>of Health</w:t>
            </w:r>
          </w:p>
          <w:p w:rsidR="0020499E" w:rsidRDefault="008E27E1">
            <w:pPr>
              <w:ind w:right="-108"/>
              <w:jc w:val="center"/>
              <w:rPr>
                <w:rFonts w:ascii="FrutigerLTStd-Roman" w:hAnsi="FrutigerLTStd-Roman" w:cs="FrutigerLTStd-Roman"/>
                <w:b/>
                <w:sz w:val="16"/>
                <w:szCs w:val="16"/>
                <w:lang w:val="en-US"/>
              </w:rPr>
            </w:pPr>
            <w:r>
              <w:rPr>
                <w:rFonts w:ascii="FrutigerLTStd-Roman" w:hAnsi="FrutigerLTStd-Roman" w:cs="FrutigerLTStd-Roman"/>
                <w:b/>
                <w:sz w:val="16"/>
                <w:szCs w:val="16"/>
                <w:lang w:val="en-US"/>
              </w:rPr>
              <w:t>Sciences</w:t>
            </w:r>
          </w:p>
          <w:p w:rsidR="0020499E" w:rsidRDefault="008E27E1">
            <w:pPr>
              <w:ind w:right="-108"/>
              <w:jc w:val="center"/>
              <w:rPr>
                <w:rFonts w:ascii="FrutigerLTStd-Roman" w:hAnsi="FrutigerLTStd-Roman" w:cs="FrutigerLTStd-Roman"/>
                <w:b/>
                <w:sz w:val="16"/>
                <w:szCs w:val="16"/>
              </w:rPr>
            </w:pPr>
            <w:r>
              <w:rPr>
                <w:rFonts w:ascii="FrutigerLTStd-Roman" w:hAnsi="FrutigerLTStd-Roman" w:cs="FrutigerLTStd-Roman"/>
                <w:b/>
                <w:sz w:val="16"/>
                <w:szCs w:val="16"/>
              </w:rPr>
              <w:t>(CAHS)</w:t>
            </w:r>
          </w:p>
          <w:p w:rsidR="0020499E" w:rsidRDefault="008E27E1">
            <w:pPr>
              <w:ind w:right="-108"/>
              <w:jc w:val="center"/>
              <w:rPr>
                <w:rFonts w:ascii="FrutigerLTStd-Roman" w:hAnsi="FrutigerLTStd-Roman" w:cs="FrutigerLTStd-Roman"/>
                <w:b/>
                <w:sz w:val="16"/>
                <w:szCs w:val="16"/>
              </w:rPr>
            </w:pPr>
            <w:r>
              <w:rPr>
                <w:rFonts w:ascii="FrutigerLTStd-Roman" w:hAnsi="FrutigerLTStd-Roman" w:cs="FrutigerLTStd-Roman"/>
                <w:b/>
                <w:sz w:val="16"/>
                <w:szCs w:val="16"/>
              </w:rPr>
              <w:t>Payback</w:t>
            </w:r>
          </w:p>
          <w:p w:rsidR="0020499E" w:rsidRDefault="008E27E1">
            <w:pPr>
              <w:ind w:right="-108"/>
              <w:jc w:val="center"/>
              <w:rPr>
                <w:rFonts w:ascii="FrutigerLTStd-Roman" w:hAnsi="FrutigerLTStd-Roman" w:cs="FrutigerLTStd-Roman"/>
                <w:b/>
                <w:sz w:val="16"/>
                <w:szCs w:val="16"/>
              </w:rPr>
            </w:pPr>
            <w:r>
              <w:rPr>
                <w:rFonts w:ascii="FrutigerLTStd-Roman" w:hAnsi="FrutigerLTStd-Roman" w:cs="FrutigerLTStd-Roman"/>
                <w:b/>
                <w:sz w:val="16"/>
                <w:szCs w:val="16"/>
              </w:rPr>
              <w:t>Framework</w:t>
            </w:r>
          </w:p>
          <w:p w:rsidR="0020499E" w:rsidRDefault="0020499E">
            <w:pPr>
              <w:ind w:right="-108"/>
              <w:jc w:val="center"/>
              <w:rPr>
                <w:rFonts w:ascii="FrutigerLTStd-Bold" w:hAnsi="FrutigerLTStd-Bold" w:cs="FrutigerLTStd-Bold"/>
                <w:b/>
                <w:bCs/>
                <w:sz w:val="16"/>
                <w:szCs w:val="16"/>
              </w:rPr>
            </w:pPr>
          </w:p>
        </w:tc>
        <w:tc>
          <w:tcPr>
            <w:tcW w:w="1417" w:type="dxa"/>
          </w:tcPr>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Aims to improve</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comparability</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across a</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disparate</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health research</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 xml:space="preserve">system. </w:t>
            </w:r>
          </w:p>
          <w:p w:rsidR="0020499E" w:rsidRDefault="0020499E">
            <w:pPr>
              <w:ind w:right="-108"/>
              <w:jc w:val="left"/>
              <w:rPr>
                <w:rFonts w:ascii="FrutigerLTStd-Roman" w:hAnsi="FrutigerLTStd-Roman" w:cs="FrutigerLTStd-Roman"/>
                <w:sz w:val="8"/>
                <w:szCs w:val="8"/>
                <w:lang w:val="en-US"/>
              </w:rPr>
            </w:pP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Covers</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wide range of</w:t>
            </w:r>
          </w:p>
          <w:p w:rsidR="0020499E" w:rsidRDefault="008E27E1">
            <w:pPr>
              <w:ind w:right="-108"/>
              <w:jc w:val="left"/>
              <w:rPr>
                <w:rFonts w:ascii="FrutigerLTStd-Roman" w:hAnsi="FrutigerLTStd-Roman" w:cs="FrutigerLTStd-Roman"/>
                <w:sz w:val="16"/>
                <w:szCs w:val="16"/>
              </w:rPr>
            </w:pPr>
            <w:r>
              <w:rPr>
                <w:rFonts w:ascii="FrutigerLTStd-Roman" w:hAnsi="FrutigerLTStd-Roman" w:cs="FrutigerLTStd-Roman"/>
                <w:sz w:val="16"/>
                <w:szCs w:val="16"/>
              </w:rPr>
              <w:t>impacts.</w:t>
            </w:r>
          </w:p>
          <w:p w:rsidR="0020499E" w:rsidRDefault="0020499E">
            <w:pPr>
              <w:ind w:right="-108"/>
              <w:jc w:val="left"/>
              <w:rPr>
                <w:rFonts w:ascii="FrutigerLTStd-Bold" w:hAnsi="FrutigerLTStd-Bold" w:cs="FrutigerLTStd-Bold"/>
                <w:b/>
                <w:bCs/>
                <w:sz w:val="16"/>
                <w:szCs w:val="16"/>
              </w:rPr>
            </w:pPr>
          </w:p>
        </w:tc>
        <w:tc>
          <w:tcPr>
            <w:tcW w:w="1418" w:type="dxa"/>
          </w:tcPr>
          <w:p w:rsidR="0020499E" w:rsidRDefault="008E27E1">
            <w:pPr>
              <w:ind w:right="-108"/>
              <w:jc w:val="left"/>
              <w:rPr>
                <w:rFonts w:ascii="FrutigerLTStd-Roman" w:hAnsi="FrutigerLTStd-Roman" w:cs="FrutigerLTStd-Roman"/>
                <w:sz w:val="16"/>
                <w:szCs w:val="16"/>
              </w:rPr>
            </w:pPr>
            <w:r>
              <w:rPr>
                <w:rFonts w:ascii="FrutigerLTStd-Roman" w:hAnsi="FrutigerLTStd-Roman" w:cs="FrutigerLTStd-Roman"/>
                <w:sz w:val="16"/>
                <w:szCs w:val="16"/>
              </w:rPr>
              <w:t>Five categories:</w:t>
            </w:r>
          </w:p>
          <w:p w:rsidR="0020499E" w:rsidRDefault="008E27E1">
            <w:pPr>
              <w:pStyle w:val="ListParagraph"/>
              <w:widowControl/>
              <w:numPr>
                <w:ilvl w:val="0"/>
                <w:numId w:val="28"/>
              </w:numPr>
              <w:ind w:left="33" w:right="-108" w:hanging="77"/>
              <w:jc w:val="left"/>
              <w:rPr>
                <w:rFonts w:ascii="FrutigerLTStd-Roman" w:eastAsiaTheme="minorHAnsi" w:hAnsi="FrutigerLTStd-Roman" w:cs="FrutigerLTStd-Roman"/>
                <w:sz w:val="16"/>
                <w:szCs w:val="16"/>
              </w:rPr>
            </w:pPr>
            <w:r>
              <w:rPr>
                <w:rFonts w:ascii="FrutigerLTStd-Roman" w:eastAsiaTheme="minorHAnsi" w:hAnsi="FrutigerLTStd-Roman" w:cs="FrutigerLTStd-Roman"/>
                <w:sz w:val="16"/>
                <w:szCs w:val="16"/>
              </w:rPr>
              <w:t>advancing</w:t>
            </w:r>
          </w:p>
          <w:p w:rsidR="0020499E" w:rsidRDefault="008E27E1">
            <w:pPr>
              <w:ind w:left="33" w:right="-108" w:hanging="77"/>
              <w:jc w:val="left"/>
              <w:rPr>
                <w:rFonts w:ascii="FrutigerLTStd-Roman" w:hAnsi="FrutigerLTStd-Roman" w:cs="FrutigerLTStd-Roman"/>
                <w:sz w:val="16"/>
                <w:szCs w:val="16"/>
              </w:rPr>
            </w:pPr>
            <w:r>
              <w:rPr>
                <w:rFonts w:ascii="FrutigerLTStd-Roman" w:hAnsi="FrutigerLTStd-Roman" w:cs="FrutigerLTStd-Roman"/>
                <w:sz w:val="16"/>
                <w:szCs w:val="16"/>
              </w:rPr>
              <w:t>knowledge;</w:t>
            </w:r>
          </w:p>
          <w:p w:rsidR="0020499E" w:rsidRDefault="008E27E1">
            <w:pPr>
              <w:pStyle w:val="ListParagraph"/>
              <w:widowControl/>
              <w:numPr>
                <w:ilvl w:val="0"/>
                <w:numId w:val="28"/>
              </w:numPr>
              <w:ind w:left="33" w:right="-108" w:hanging="77"/>
              <w:jc w:val="left"/>
              <w:rPr>
                <w:rFonts w:ascii="FrutigerLTStd-Roman" w:eastAsiaTheme="minorHAnsi" w:hAnsi="FrutigerLTStd-Roman" w:cs="FrutigerLTStd-Roman"/>
                <w:sz w:val="16"/>
                <w:szCs w:val="16"/>
              </w:rPr>
            </w:pPr>
            <w:r>
              <w:rPr>
                <w:rFonts w:ascii="FrutigerLTStd-Roman" w:eastAsiaTheme="minorHAnsi" w:hAnsi="FrutigerLTStd-Roman" w:cs="FrutigerLTStd-Roman"/>
                <w:sz w:val="16"/>
                <w:szCs w:val="16"/>
              </w:rPr>
              <w:t>capacity building;</w:t>
            </w:r>
          </w:p>
          <w:p w:rsidR="0020499E" w:rsidRDefault="008E27E1">
            <w:pPr>
              <w:pStyle w:val="ListParagraph"/>
              <w:widowControl/>
              <w:numPr>
                <w:ilvl w:val="0"/>
                <w:numId w:val="28"/>
              </w:numPr>
              <w:ind w:left="33" w:right="-108" w:hanging="77"/>
              <w:jc w:val="left"/>
              <w:rPr>
                <w:rFonts w:ascii="FrutigerLTStd-Roman" w:eastAsiaTheme="minorHAnsi" w:hAnsi="FrutigerLTStd-Roman" w:cs="FrutigerLTStd-Roman"/>
                <w:sz w:val="16"/>
                <w:szCs w:val="16"/>
              </w:rPr>
            </w:pPr>
            <w:r>
              <w:rPr>
                <w:rFonts w:ascii="FrutigerLTStd-Roman" w:eastAsiaTheme="minorHAnsi" w:hAnsi="FrutigerLTStd-Roman" w:cs="FrutigerLTStd-Roman"/>
                <w:sz w:val="16"/>
                <w:szCs w:val="16"/>
              </w:rPr>
              <w:t>informingpolicies&amp;product</w:t>
            </w:r>
          </w:p>
          <w:p w:rsidR="0020499E" w:rsidRDefault="008E27E1">
            <w:pPr>
              <w:ind w:left="33" w:right="-108" w:hanging="77"/>
              <w:jc w:val="left"/>
              <w:rPr>
                <w:rFonts w:ascii="FrutigerLTStd-Roman" w:hAnsi="FrutigerLTStd-Roman" w:cs="FrutigerLTStd-Roman"/>
                <w:sz w:val="16"/>
                <w:szCs w:val="16"/>
              </w:rPr>
            </w:pPr>
            <w:r>
              <w:rPr>
                <w:rFonts w:ascii="FrutigerLTStd-Roman" w:hAnsi="FrutigerLTStd-Roman" w:cs="FrutigerLTStd-Roman"/>
                <w:sz w:val="16"/>
                <w:szCs w:val="16"/>
              </w:rPr>
              <w:t>development;</w:t>
            </w:r>
          </w:p>
          <w:p w:rsidR="0020499E" w:rsidRDefault="008E27E1">
            <w:pPr>
              <w:pStyle w:val="ListParagraph"/>
              <w:widowControl/>
              <w:numPr>
                <w:ilvl w:val="0"/>
                <w:numId w:val="28"/>
              </w:numPr>
              <w:ind w:left="33" w:right="-108" w:hanging="77"/>
              <w:jc w:val="left"/>
              <w:rPr>
                <w:rFonts w:ascii="FrutigerLTStd-Roman" w:eastAsiaTheme="minorHAnsi" w:hAnsi="FrutigerLTStd-Roman" w:cs="FrutigerLTStd-Roman"/>
                <w:sz w:val="16"/>
                <w:szCs w:val="16"/>
                <w:lang w:val="en-US"/>
              </w:rPr>
            </w:pPr>
            <w:r>
              <w:rPr>
                <w:rFonts w:ascii="FrutigerLTStd-Roman" w:eastAsiaTheme="minorHAnsi" w:hAnsi="FrutigerLTStd-Roman" w:cs="FrutigerLTStd-Roman"/>
                <w:sz w:val="16"/>
                <w:szCs w:val="16"/>
                <w:lang w:val="en-US"/>
              </w:rPr>
              <w:t xml:space="preserve">health and health sector benefits; </w:t>
            </w:r>
          </w:p>
          <w:p w:rsidR="0020499E" w:rsidRDefault="008E27E1">
            <w:pPr>
              <w:pStyle w:val="ListParagraph"/>
              <w:widowControl/>
              <w:numPr>
                <w:ilvl w:val="0"/>
                <w:numId w:val="28"/>
              </w:numPr>
              <w:ind w:left="33" w:right="-108" w:hanging="77"/>
              <w:jc w:val="left"/>
              <w:rPr>
                <w:rFonts w:ascii="FrutigerLTStd-Bold" w:eastAsiaTheme="minorHAnsi" w:hAnsi="FrutigerLTStd-Bold" w:cs="FrutigerLTStd-Bold"/>
                <w:b/>
                <w:bCs/>
                <w:sz w:val="16"/>
                <w:szCs w:val="16"/>
              </w:rPr>
            </w:pPr>
            <w:r>
              <w:rPr>
                <w:rFonts w:ascii="FrutigerLTStd-Roman" w:eastAsiaTheme="minorHAnsi" w:hAnsi="FrutigerLTStd-Roman" w:cs="FrutigerLTStd-Roman"/>
                <w:sz w:val="16"/>
                <w:szCs w:val="16"/>
              </w:rPr>
              <w:t>broader</w:t>
            </w:r>
            <w:r>
              <w:rPr>
                <w:rFonts w:ascii="FrutigerLTStd-Roman" w:eastAsiaTheme="minorHAnsi" w:hAnsi="FrutigerLTStd-Roman" w:cs="FrutigerLTStd-Roman"/>
                <w:sz w:val="16"/>
                <w:szCs w:val="16"/>
              </w:rPr>
              <w:t>economicbenefits.</w:t>
            </w:r>
          </w:p>
        </w:tc>
        <w:tc>
          <w:tcPr>
            <w:tcW w:w="1559" w:type="dxa"/>
          </w:tcPr>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Specific indicators for each category.</w:t>
            </w:r>
          </w:p>
          <w:p w:rsidR="0020499E" w:rsidRDefault="0020499E">
            <w:pPr>
              <w:ind w:right="-108"/>
              <w:jc w:val="left"/>
              <w:rPr>
                <w:rFonts w:ascii="FrutigerLTStd-Roman" w:hAnsi="FrutigerLTStd-Roman" w:cs="FrutigerLTStd-Roman"/>
                <w:sz w:val="8"/>
                <w:szCs w:val="8"/>
                <w:lang w:val="en-US"/>
              </w:rPr>
            </w:pP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Logic model has</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four research</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‘pillars’:</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biomedical;</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clinical; health</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services;</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social cultural,</w:t>
            </w:r>
          </w:p>
          <w:p w:rsidR="0020499E" w:rsidRDefault="008E27E1">
            <w:pPr>
              <w:ind w:right="-108"/>
              <w:jc w:val="left"/>
              <w:rPr>
                <w:rFonts w:ascii="FrutigerLTStd-Bold" w:hAnsi="FrutigerLTStd-Bold" w:cs="FrutigerLTStd-Bold"/>
                <w:b/>
                <w:bCs/>
                <w:sz w:val="16"/>
                <w:szCs w:val="16"/>
                <w:lang w:val="en-US"/>
              </w:rPr>
            </w:pPr>
            <w:r>
              <w:rPr>
                <w:rFonts w:ascii="FrutigerLTStd-Roman" w:hAnsi="FrutigerLTStd-Roman" w:cs="FrutigerLTStd-Roman"/>
                <w:sz w:val="16"/>
                <w:szCs w:val="16"/>
                <w:lang w:val="en-US"/>
              </w:rPr>
              <w:t>environmental and population health.</w:t>
            </w:r>
          </w:p>
        </w:tc>
        <w:tc>
          <w:tcPr>
            <w:tcW w:w="1417" w:type="dxa"/>
          </w:tcPr>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Used by public</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funders;</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predominantly</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CIHR (federal</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funder), but</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there has also been some uptake by regional</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organisations</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(e.g. Alberta</w:t>
            </w:r>
          </w:p>
          <w:p w:rsidR="0020499E" w:rsidRDefault="008E27E1">
            <w:pPr>
              <w:ind w:right="-108"/>
              <w:jc w:val="left"/>
              <w:rPr>
                <w:rFonts w:ascii="FrutigerLTStd-Bold" w:hAnsi="FrutigerLTStd-Bold" w:cs="FrutigerLTStd-Bold"/>
                <w:b/>
                <w:bCs/>
                <w:sz w:val="16"/>
                <w:szCs w:val="16"/>
                <w:lang w:val="en-US"/>
              </w:rPr>
            </w:pPr>
            <w:r>
              <w:rPr>
                <w:rFonts w:ascii="FrutigerLTStd-Roman" w:hAnsi="FrutigerLTStd-Roman" w:cs="FrutigerLTStd-Roman"/>
                <w:sz w:val="16"/>
                <w:szCs w:val="16"/>
                <w:lang w:val="en-US"/>
              </w:rPr>
              <w:t>Innovates).</w:t>
            </w:r>
          </w:p>
        </w:tc>
        <w:tc>
          <w:tcPr>
            <w:tcW w:w="1418" w:type="dxa"/>
          </w:tcPr>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Strengths:</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generalisable</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within health</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sector; can handle</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unexpected</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 xml:space="preserve">outcomes. </w:t>
            </w:r>
          </w:p>
          <w:p w:rsidR="0020499E" w:rsidRDefault="0020499E">
            <w:pPr>
              <w:ind w:right="-108"/>
              <w:jc w:val="left"/>
              <w:rPr>
                <w:rFonts w:ascii="FrutigerLTStd-Roman" w:hAnsi="FrutigerLTStd-Roman" w:cs="FrutigerLTStd-Roman"/>
                <w:sz w:val="8"/>
                <w:szCs w:val="8"/>
                <w:lang w:val="en-US"/>
              </w:rPr>
            </w:pP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But understanding</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needed at funder level may limit</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 xml:space="preserve">uptake. </w:t>
            </w:r>
          </w:p>
          <w:p w:rsidR="0020499E" w:rsidRDefault="0020499E">
            <w:pPr>
              <w:ind w:right="-108"/>
              <w:jc w:val="left"/>
              <w:rPr>
                <w:rFonts w:ascii="FrutigerLTStd-Roman" w:hAnsi="FrutigerLTStd-Roman" w:cs="FrutigerLTStd-Roman"/>
                <w:sz w:val="8"/>
                <w:szCs w:val="8"/>
                <w:lang w:val="en-US"/>
              </w:rPr>
            </w:pPr>
          </w:p>
          <w:p w:rsidR="0020499E" w:rsidRDefault="008E27E1">
            <w:pPr>
              <w:ind w:right="-108"/>
              <w:jc w:val="left"/>
              <w:rPr>
                <w:rFonts w:ascii="FrutigerLTStd-Bold" w:hAnsi="FrutigerLTStd-Bold" w:cs="FrutigerLTStd-Bold"/>
                <w:b/>
                <w:bCs/>
                <w:sz w:val="16"/>
                <w:szCs w:val="16"/>
                <w:lang w:val="en-US"/>
              </w:rPr>
            </w:pPr>
            <w:r>
              <w:rPr>
                <w:rFonts w:ascii="FrutigerLTStd-Roman" w:hAnsi="FrutigerLTStd-Roman" w:cs="FrutigerLTStd-Roman"/>
                <w:sz w:val="16"/>
                <w:szCs w:val="16"/>
                <w:lang w:val="en-US"/>
              </w:rPr>
              <w:t>Early stages hard to assess.</w:t>
            </w:r>
          </w:p>
        </w:tc>
        <w:tc>
          <w:tcPr>
            <w:tcW w:w="1559" w:type="dxa"/>
          </w:tcPr>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Breadth, depth and</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flexibility mean</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framework</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should be widely applicable.</w:t>
            </w:r>
          </w:p>
          <w:p w:rsidR="0020499E" w:rsidRDefault="0020499E">
            <w:pPr>
              <w:ind w:right="-108"/>
              <w:jc w:val="left"/>
              <w:rPr>
                <w:rFonts w:ascii="FrutigerLTStd-Roman" w:hAnsi="FrutigerLTStd-Roman" w:cs="FrutigerLTStd-Roman"/>
                <w:sz w:val="8"/>
                <w:szCs w:val="8"/>
                <w:lang w:val="en-US"/>
              </w:rPr>
            </w:pP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However, it only provides a guide and needs significant work to tailor to specific</w:t>
            </w:r>
          </w:p>
          <w:p w:rsidR="0020499E" w:rsidRDefault="008E27E1">
            <w:pPr>
              <w:ind w:right="-108"/>
              <w:jc w:val="left"/>
              <w:rPr>
                <w:rFonts w:ascii="FrutigerLTStd-Bold" w:hAnsi="FrutigerLTStd-Bold" w:cs="FrutigerLTStd-Bold"/>
                <w:b/>
                <w:bCs/>
                <w:sz w:val="16"/>
                <w:szCs w:val="16"/>
                <w:lang w:val="en-US"/>
              </w:rPr>
            </w:pPr>
            <w:r>
              <w:rPr>
                <w:rFonts w:ascii="FrutigerLTStd-Roman" w:hAnsi="FrutigerLTStd-Roman" w:cs="FrutigerLTStd-Roman"/>
                <w:sz w:val="16"/>
                <w:szCs w:val="16"/>
                <w:lang w:val="en-US"/>
              </w:rPr>
              <w:t>circumstances.</w:t>
            </w:r>
          </w:p>
        </w:tc>
      </w:tr>
      <w:tr w:rsidR="0020499E">
        <w:tc>
          <w:tcPr>
            <w:tcW w:w="1135" w:type="dxa"/>
          </w:tcPr>
          <w:p w:rsidR="0020499E" w:rsidRDefault="008E27E1">
            <w:pPr>
              <w:ind w:right="-108"/>
              <w:jc w:val="center"/>
              <w:rPr>
                <w:rFonts w:ascii="FrutigerLTStd-Roman" w:hAnsi="FrutigerLTStd-Roman" w:cs="FrutigerLTStd-Roman"/>
                <w:b/>
                <w:sz w:val="16"/>
                <w:szCs w:val="16"/>
              </w:rPr>
            </w:pPr>
            <w:r>
              <w:rPr>
                <w:rFonts w:ascii="FrutigerLTStd-Roman" w:hAnsi="FrutigerLTStd-Roman" w:cs="FrutigerLTStd-Roman"/>
                <w:b/>
                <w:sz w:val="16"/>
                <w:szCs w:val="16"/>
              </w:rPr>
              <w:t>Europe</w:t>
            </w:r>
          </w:p>
          <w:p w:rsidR="0020499E" w:rsidRDefault="0020499E">
            <w:pPr>
              <w:ind w:right="-108"/>
              <w:jc w:val="center"/>
              <w:rPr>
                <w:rFonts w:ascii="FrutigerLTStd-Roman" w:hAnsi="FrutigerLTStd-Roman" w:cs="FrutigerLTStd-Roman"/>
                <w:b/>
                <w:sz w:val="16"/>
                <w:szCs w:val="16"/>
              </w:rPr>
            </w:pPr>
          </w:p>
          <w:p w:rsidR="0020499E" w:rsidRDefault="008E27E1">
            <w:pPr>
              <w:ind w:right="-108"/>
              <w:jc w:val="center"/>
              <w:rPr>
                <w:rFonts w:ascii="FrutigerLTStd-Roman" w:hAnsi="FrutigerLTStd-Roman" w:cs="FrutigerLTStd-Roman"/>
                <w:b/>
                <w:sz w:val="16"/>
                <w:szCs w:val="16"/>
              </w:rPr>
            </w:pPr>
            <w:r>
              <w:rPr>
                <w:rFonts w:ascii="FrutigerLTStd-Roman" w:hAnsi="FrutigerLTStd-Roman" w:cs="FrutigerLTStd-Roman"/>
                <w:b/>
                <w:sz w:val="16"/>
                <w:szCs w:val="16"/>
              </w:rPr>
              <w:t>Productive</w:t>
            </w:r>
          </w:p>
          <w:p w:rsidR="0020499E" w:rsidRDefault="008E27E1">
            <w:pPr>
              <w:ind w:right="-108"/>
              <w:jc w:val="center"/>
              <w:rPr>
                <w:rFonts w:ascii="FrutigerLTStd-Roman" w:hAnsi="FrutigerLTStd-Roman" w:cs="FrutigerLTStd-Roman"/>
                <w:b/>
                <w:sz w:val="16"/>
                <w:szCs w:val="16"/>
              </w:rPr>
            </w:pPr>
            <w:r>
              <w:rPr>
                <w:rFonts w:ascii="FrutigerLTStd-Roman" w:hAnsi="FrutigerLTStd-Roman" w:cs="FrutigerLTStd-Roman"/>
                <w:b/>
                <w:sz w:val="16"/>
                <w:szCs w:val="16"/>
              </w:rPr>
              <w:t>Interactions</w:t>
            </w:r>
          </w:p>
        </w:tc>
        <w:tc>
          <w:tcPr>
            <w:tcW w:w="1417" w:type="dxa"/>
          </w:tcPr>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Measures</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productive</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interactions,</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defined as</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interactions with</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stakeholders that lead to change.</w:t>
            </w:r>
          </w:p>
          <w:p w:rsidR="0020499E" w:rsidRDefault="0020499E">
            <w:pPr>
              <w:ind w:right="-108"/>
              <w:jc w:val="left"/>
              <w:rPr>
                <w:rFonts w:ascii="FrutigerLTStd-Roman" w:hAnsi="FrutigerLTStd-Roman" w:cs="FrutigerLTStd-Roman"/>
                <w:sz w:val="8"/>
                <w:szCs w:val="8"/>
                <w:lang w:val="en-US"/>
              </w:rPr>
            </w:pP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Eliminates time lag, easier to measure than impacts.</w:t>
            </w:r>
          </w:p>
          <w:p w:rsidR="0020499E" w:rsidRDefault="0020499E">
            <w:pPr>
              <w:ind w:right="-108"/>
              <w:jc w:val="left"/>
              <w:rPr>
                <w:rFonts w:ascii="FrutigerLTStd-Roman" w:hAnsi="FrutigerLTStd-Roman" w:cs="FrutigerLTStd-Roman"/>
                <w:sz w:val="8"/>
                <w:szCs w:val="8"/>
                <w:lang w:val="en-US"/>
              </w:rPr>
            </w:pP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Assessment</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against internal</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goals intended</w:t>
            </w:r>
          </w:p>
          <w:p w:rsidR="0020499E" w:rsidRDefault="008E27E1">
            <w:pPr>
              <w:ind w:right="-108"/>
              <w:jc w:val="left"/>
              <w:rPr>
                <w:rFonts w:ascii="FrutigerLTStd-Bold" w:hAnsi="FrutigerLTStd-Bold" w:cs="FrutigerLTStd-Bold"/>
                <w:b/>
                <w:bCs/>
                <w:sz w:val="16"/>
                <w:szCs w:val="16"/>
                <w:lang w:val="en-US"/>
              </w:rPr>
            </w:pPr>
            <w:r>
              <w:rPr>
                <w:rFonts w:ascii="FrutigerLTStd-Roman" w:hAnsi="FrutigerLTStd-Roman" w:cs="FrutigerLTStd-Roman"/>
                <w:sz w:val="16"/>
                <w:szCs w:val="16"/>
                <w:lang w:val="en-US"/>
              </w:rPr>
              <w:t>for learning.</w:t>
            </w:r>
          </w:p>
        </w:tc>
        <w:tc>
          <w:tcPr>
            <w:tcW w:w="1418" w:type="dxa"/>
          </w:tcPr>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Intended to work</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in a wide range</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of contexts,</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best applied at</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research group</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or department</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l</w:t>
            </w:r>
            <w:r>
              <w:rPr>
                <w:rFonts w:ascii="FrutigerLTStd-Roman" w:hAnsi="FrutigerLTStd-Roman" w:cs="FrutigerLTStd-Roman"/>
                <w:sz w:val="16"/>
                <w:szCs w:val="16"/>
                <w:lang w:val="en-US"/>
              </w:rPr>
              <w:t>evel where goals</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are consistent.</w:t>
            </w:r>
          </w:p>
          <w:p w:rsidR="0020499E" w:rsidRDefault="0020499E">
            <w:pPr>
              <w:ind w:right="-108"/>
              <w:jc w:val="left"/>
              <w:rPr>
                <w:rFonts w:ascii="FrutigerLTStd-Bold" w:hAnsi="FrutigerLTStd-Bold" w:cs="FrutigerLTStd-Bold"/>
                <w:b/>
                <w:bCs/>
                <w:sz w:val="16"/>
                <w:szCs w:val="16"/>
                <w:lang w:val="en-US"/>
              </w:rPr>
            </w:pPr>
          </w:p>
        </w:tc>
        <w:tc>
          <w:tcPr>
            <w:tcW w:w="1559" w:type="dxa"/>
          </w:tcPr>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Three types</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of interaction:</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direct personal</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contacts, indirect (e.g. via a publication) and financial.</w:t>
            </w:r>
          </w:p>
          <w:p w:rsidR="0020499E" w:rsidRDefault="0020499E">
            <w:pPr>
              <w:ind w:right="-108"/>
              <w:jc w:val="left"/>
              <w:rPr>
                <w:rFonts w:ascii="FrutigerLTStd-Roman" w:hAnsi="FrutigerLTStd-Roman" w:cs="FrutigerLTStd-Roman"/>
                <w:sz w:val="8"/>
                <w:szCs w:val="8"/>
                <w:lang w:val="en-US"/>
              </w:rPr>
            </w:pP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Engages</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users; findings</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assessed against</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internal goals.</w:t>
            </w:r>
          </w:p>
          <w:p w:rsidR="0020499E" w:rsidRDefault="0020499E">
            <w:pPr>
              <w:ind w:right="-108"/>
              <w:jc w:val="left"/>
              <w:rPr>
                <w:rFonts w:ascii="FrutigerLTStd-Bold" w:hAnsi="FrutigerLTStd-Bold" w:cs="FrutigerLTStd-Bold"/>
                <w:b/>
                <w:bCs/>
                <w:sz w:val="16"/>
                <w:szCs w:val="16"/>
                <w:lang w:val="en-US"/>
              </w:rPr>
            </w:pPr>
          </w:p>
        </w:tc>
        <w:tc>
          <w:tcPr>
            <w:tcW w:w="1417" w:type="dxa"/>
          </w:tcPr>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Piloted across</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diverse</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disciplines and</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contexts in</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 xml:space="preserve">four </w:t>
            </w:r>
            <w:r>
              <w:rPr>
                <w:rFonts w:ascii="FrutigerLTStd-Roman" w:hAnsi="FrutigerLTStd-Roman" w:cs="FrutigerLTStd-Roman"/>
                <w:sz w:val="16"/>
                <w:szCs w:val="16"/>
                <w:lang w:val="en-US"/>
              </w:rPr>
              <w:t>European</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countries and</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at EC level. No</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plans to roll out</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more widely at</w:t>
            </w:r>
          </w:p>
          <w:p w:rsidR="0020499E" w:rsidRDefault="008E27E1">
            <w:pPr>
              <w:ind w:right="-108"/>
              <w:jc w:val="left"/>
              <w:rPr>
                <w:rFonts w:ascii="FrutigerLTStd-Roman" w:hAnsi="FrutigerLTStd-Roman" w:cs="FrutigerLTStd-Roman"/>
                <w:sz w:val="16"/>
                <w:szCs w:val="16"/>
              </w:rPr>
            </w:pPr>
            <w:r>
              <w:rPr>
                <w:rFonts w:ascii="FrutigerLTStd-Roman" w:hAnsi="FrutigerLTStd-Roman" w:cs="FrutigerLTStd-Roman"/>
                <w:sz w:val="16"/>
                <w:szCs w:val="16"/>
              </w:rPr>
              <w:t>present.</w:t>
            </w:r>
          </w:p>
          <w:p w:rsidR="0020499E" w:rsidRDefault="0020499E">
            <w:pPr>
              <w:ind w:right="-108"/>
              <w:jc w:val="left"/>
              <w:rPr>
                <w:rFonts w:ascii="FrutigerLTStd-Bold" w:hAnsi="FrutigerLTStd-Bold" w:cs="FrutigerLTStd-Bold"/>
                <w:b/>
                <w:bCs/>
                <w:sz w:val="16"/>
                <w:szCs w:val="16"/>
              </w:rPr>
            </w:pPr>
          </w:p>
        </w:tc>
        <w:tc>
          <w:tcPr>
            <w:tcW w:w="1418" w:type="dxa"/>
          </w:tcPr>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Tailored, so</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should help</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improve</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performance.</w:t>
            </w:r>
          </w:p>
          <w:p w:rsidR="0020499E" w:rsidRDefault="0020499E">
            <w:pPr>
              <w:ind w:right="-108"/>
              <w:jc w:val="left"/>
              <w:rPr>
                <w:rFonts w:ascii="FrutigerLTStd-Roman" w:hAnsi="FrutigerLTStd-Roman" w:cs="FrutigerLTStd-Roman"/>
                <w:sz w:val="8"/>
                <w:szCs w:val="8"/>
                <w:lang w:val="en-US"/>
              </w:rPr>
            </w:pP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No comparative</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ranking.</w:t>
            </w:r>
          </w:p>
          <w:p w:rsidR="0020499E" w:rsidRDefault="0020499E">
            <w:pPr>
              <w:ind w:right="-108"/>
              <w:jc w:val="left"/>
              <w:rPr>
                <w:rFonts w:ascii="FrutigerLTStd-Roman" w:hAnsi="FrutigerLTStd-Roman" w:cs="FrutigerLTStd-Roman"/>
                <w:sz w:val="8"/>
                <w:szCs w:val="8"/>
                <w:lang w:val="en-US"/>
              </w:rPr>
            </w:pP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Requires</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Significant work from participants</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to generate their own set of goals and indicators.</w:t>
            </w:r>
          </w:p>
          <w:p w:rsidR="0020499E" w:rsidRDefault="0020499E">
            <w:pPr>
              <w:ind w:right="-108"/>
              <w:jc w:val="left"/>
              <w:rPr>
                <w:rFonts w:ascii="FrutigerLTStd-Bold" w:hAnsi="FrutigerLTStd-Bold" w:cs="FrutigerLTStd-Bold"/>
                <w:b/>
                <w:bCs/>
                <w:sz w:val="16"/>
                <w:szCs w:val="16"/>
                <w:lang w:val="en-US"/>
              </w:rPr>
            </w:pPr>
          </w:p>
        </w:tc>
        <w:tc>
          <w:tcPr>
            <w:tcW w:w="1559" w:type="dxa"/>
          </w:tcPr>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Indicators</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developed to meet goals, so widely</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applicable, but does</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not produce comparison between institutions, so not appropriate</w:t>
            </w:r>
          </w:p>
          <w:p w:rsidR="0020499E" w:rsidRDefault="008E27E1">
            <w:pPr>
              <w:ind w:right="-108"/>
              <w:jc w:val="left"/>
              <w:rPr>
                <w:rFonts w:ascii="FrutigerLTStd-Roman" w:hAnsi="FrutigerLTStd-Roman" w:cs="FrutigerLTStd-Roman"/>
                <w:sz w:val="16"/>
                <w:szCs w:val="16"/>
                <w:lang w:val="en-US"/>
              </w:rPr>
            </w:pPr>
            <w:r>
              <w:rPr>
                <w:rFonts w:ascii="FrutigerLTStd-Roman" w:hAnsi="FrutigerLTStd-Roman" w:cs="FrutigerLTStd-Roman"/>
                <w:sz w:val="16"/>
                <w:szCs w:val="16"/>
                <w:lang w:val="en-US"/>
              </w:rPr>
              <w:t>for allocation, and could be challenging to use for accountability.</w:t>
            </w:r>
          </w:p>
        </w:tc>
      </w:tr>
    </w:tbl>
    <w:p w:rsidR="0020499E" w:rsidRDefault="008E27E1">
      <w:pPr>
        <w:jc w:val="left"/>
        <w:rPr>
          <w:b/>
        </w:rPr>
      </w:pPr>
      <w:r>
        <w:rPr>
          <w:rFonts w:ascii="FrutigerLTStd-Roman" w:eastAsiaTheme="minorHAnsi" w:hAnsi="FrutigerLTStd-Roman" w:cs="FrutigerLTStd-Roman"/>
          <w:sz w:val="16"/>
          <w:szCs w:val="16"/>
        </w:rPr>
        <w:t xml:space="preserve">Adapted from Guthrie et al. </w:t>
      </w:r>
    </w:p>
    <w:sectPr w:rsidR="0020499E" w:rsidSect="0020499E">
      <w:footerReference w:type="default" r:id="rId74"/>
      <w:pgSz w:w="12240" w:h="15840"/>
      <w:pgMar w:top="1134" w:right="1183" w:bottom="1135" w:left="1276" w:header="720" w:footer="4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27E1" w:rsidRDefault="008E27E1">
      <w:r>
        <w:separator/>
      </w:r>
    </w:p>
  </w:endnote>
  <w:endnote w:type="continuationSeparator" w:id="1">
    <w:p w:rsidR="008E27E1" w:rsidRDefault="008E27E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Helvetica Neue">
    <w:altName w:val="Malgun Gothic"/>
    <w:charset w:val="00"/>
    <w:family w:val="auto"/>
    <w:pitch w:val="variable"/>
    <w:sig w:usb0="80000067"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cal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TimesNewRoman,Bold">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LitMtavrPS">
    <w:panose1 w:val="00000000000000000000"/>
    <w:charset w:val="00"/>
    <w:family w:val="auto"/>
    <w:pitch w:val="variable"/>
    <w:sig w:usb0="00000087" w:usb1="00000000" w:usb2="00000000" w:usb3="00000000" w:csb0="0000001B" w:csb1="00000000"/>
  </w:font>
  <w:font w:name="AGaramondPro-Regular">
    <w:panose1 w:val="00000000000000000000"/>
    <w:charset w:val="00"/>
    <w:family w:val="roman"/>
    <w:notTrueType/>
    <w:pitch w:val="default"/>
    <w:sig w:usb0="00000003" w:usb1="00000000" w:usb2="00000000" w:usb3="00000000" w:csb0="00000001" w:csb1="00000000"/>
  </w:font>
  <w:font w:name="FrutigerLTStd-Bold">
    <w:panose1 w:val="00000000000000000000"/>
    <w:charset w:val="00"/>
    <w:family w:val="swiss"/>
    <w:notTrueType/>
    <w:pitch w:val="default"/>
    <w:sig w:usb0="00000003" w:usb1="00000000" w:usb2="00000000" w:usb3="00000000" w:csb0="00000001" w:csb1="00000000"/>
  </w:font>
  <w:font w:name="FrutigerLTStd-Roman">
    <w:panose1 w:val="00000000000000000000"/>
    <w:charset w:val="00"/>
    <w:family w:val="swiss"/>
    <w:notTrueType/>
    <w:pitch w:val="default"/>
    <w:sig w:usb0="00000003" w:usb1="00000000" w:usb2="00000000" w:usb3="00000000" w:csb0="00000001" w:csb1="00000000"/>
  </w:font>
  <w:font w:name="ZapfDingbatsStd">
    <w:altName w:val="MS Gothic"/>
    <w:panose1 w:val="00000000000000000000"/>
    <w:charset w:val="80"/>
    <w:family w:val="swiss"/>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GaramondPremrPro-Capt">
    <w:panose1 w:val="00000000000000000000"/>
    <w:charset w:val="00"/>
    <w:family w:val="roman"/>
    <w:notTrueType/>
    <w:pitch w:val="default"/>
    <w:sig w:usb0="00000003" w:usb1="00000000" w:usb2="00000000" w:usb3="00000000" w:csb0="00000001" w:csb1="00000000"/>
  </w:font>
  <w:font w:name="GaramondPremrPro-It">
    <w:panose1 w:val="00000000000000000000"/>
    <w:charset w:val="00"/>
    <w:family w:val="roman"/>
    <w:notTrueType/>
    <w:pitch w:val="default"/>
    <w:sig w:usb0="00000003" w:usb1="00000000" w:usb2="00000000" w:usb3="00000000" w:csb0="00000001" w:csb1="00000000"/>
  </w:font>
  <w:font w:name="Times-Bold">
    <w:panose1 w:val="00000000000000000000"/>
    <w:charset w:val="00"/>
    <w:family w:val="auto"/>
    <w:notTrueType/>
    <w:pitch w:val="default"/>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AdvPTimesB">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0077344"/>
      <w:docPartObj>
        <w:docPartGallery w:val="Page Numbers (Bottom of Page)"/>
        <w:docPartUnique/>
      </w:docPartObj>
    </w:sdtPr>
    <w:sdtEndPr>
      <w:rPr>
        <w:noProof/>
      </w:rPr>
    </w:sdtEndPr>
    <w:sdtContent>
      <w:p w:rsidR="0020499E" w:rsidRDefault="0020499E">
        <w:pPr>
          <w:pStyle w:val="Footer"/>
          <w:jc w:val="right"/>
        </w:pPr>
        <w:r>
          <w:fldChar w:fldCharType="begin"/>
        </w:r>
        <w:r w:rsidR="008E27E1">
          <w:instrText xml:space="preserve"> PAGE   \* MERGEFORMAT </w:instrText>
        </w:r>
        <w:r>
          <w:fldChar w:fldCharType="separate"/>
        </w:r>
        <w:r w:rsidR="0044772B">
          <w:rPr>
            <w:noProof/>
          </w:rPr>
          <w:t>56</w:t>
        </w:r>
        <w:r>
          <w:rPr>
            <w:noProof/>
          </w:rPr>
          <w:fldChar w:fldCharType="end"/>
        </w:r>
      </w:p>
    </w:sdtContent>
  </w:sdt>
  <w:p w:rsidR="0020499E" w:rsidRDefault="002049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27E1" w:rsidRDefault="008E27E1">
      <w:r>
        <w:separator/>
      </w:r>
    </w:p>
  </w:footnote>
  <w:footnote w:type="continuationSeparator" w:id="1">
    <w:p w:rsidR="008E27E1" w:rsidRDefault="008E27E1">
      <w:r>
        <w:continuationSeparator/>
      </w:r>
    </w:p>
  </w:footnote>
  <w:footnote w:id="2">
    <w:p w:rsidR="0020499E" w:rsidRDefault="008E27E1">
      <w:pPr>
        <w:pStyle w:val="FootnoteText"/>
        <w:rPr>
          <w:lang w:val="en-US"/>
        </w:rPr>
      </w:pPr>
      <w:r>
        <w:rPr>
          <w:rStyle w:val="FootnoteReference"/>
        </w:rPr>
        <w:footnoteRef/>
      </w:r>
      <w:r>
        <w:rPr>
          <w:rFonts w:ascii="Verdana" w:hAnsi="Verdana"/>
          <w:sz w:val="16"/>
          <w:szCs w:val="16"/>
          <w:lang w:val="en-GB"/>
        </w:rPr>
        <w:t xml:space="preserve">The </w:t>
      </w:r>
      <w:r>
        <w:rPr>
          <w:rFonts w:ascii="Verdana" w:hAnsi="Verdana"/>
          <w:i/>
          <w:sz w:val="16"/>
          <w:szCs w:val="16"/>
          <w:lang w:val="en-GB"/>
        </w:rPr>
        <w:t>h</w:t>
      </w:r>
      <w:r>
        <w:rPr>
          <w:rFonts w:ascii="Verdana" w:hAnsi="Verdana"/>
          <w:sz w:val="16"/>
          <w:szCs w:val="16"/>
          <w:lang w:val="en-GB"/>
        </w:rPr>
        <w:t xml:space="preserve">-index was proposed by J. E. Hirsch in his paper “An index to quantify an individual's scientific research output”. According to Hirsch’s model, a scientist has index </w:t>
      </w:r>
      <w:r>
        <w:rPr>
          <w:rFonts w:ascii="Verdana" w:hAnsi="Verdana"/>
          <w:i/>
          <w:sz w:val="16"/>
          <w:szCs w:val="16"/>
          <w:lang w:val="en-GB"/>
        </w:rPr>
        <w:t>h</w:t>
      </w:r>
      <w:r>
        <w:rPr>
          <w:rFonts w:ascii="Verdana" w:hAnsi="Verdana"/>
          <w:sz w:val="16"/>
          <w:szCs w:val="16"/>
          <w:lang w:val="en-GB"/>
        </w:rPr>
        <w:t xml:space="preserve"> if </w:t>
      </w:r>
      <w:r>
        <w:rPr>
          <w:rFonts w:ascii="Verdana" w:hAnsi="Verdana"/>
          <w:i/>
          <w:sz w:val="16"/>
          <w:szCs w:val="16"/>
          <w:lang w:val="en-GB"/>
        </w:rPr>
        <w:t>h</w:t>
      </w:r>
      <w:r>
        <w:rPr>
          <w:rFonts w:ascii="Verdana" w:hAnsi="Verdana"/>
          <w:sz w:val="16"/>
          <w:szCs w:val="16"/>
          <w:lang w:val="en-GB"/>
        </w:rPr>
        <w:t xml:space="preserve"> of his/her N</w:t>
      </w:r>
      <w:r>
        <w:rPr>
          <w:rFonts w:ascii="Verdana" w:hAnsi="Verdana"/>
          <w:sz w:val="16"/>
          <w:szCs w:val="16"/>
          <w:vertAlign w:val="subscript"/>
          <w:lang w:val="en-GB"/>
        </w:rPr>
        <w:t>p</w:t>
      </w:r>
      <w:r>
        <w:rPr>
          <w:rFonts w:ascii="Verdana" w:hAnsi="Verdana"/>
          <w:sz w:val="16"/>
          <w:szCs w:val="16"/>
          <w:lang w:val="en-GB"/>
        </w:rPr>
        <w:t xml:space="preserve"> papers have at least </w:t>
      </w:r>
      <w:r>
        <w:rPr>
          <w:rFonts w:ascii="Verdana" w:hAnsi="Verdana"/>
          <w:i/>
          <w:sz w:val="16"/>
          <w:szCs w:val="16"/>
          <w:lang w:val="en-GB"/>
        </w:rPr>
        <w:t>h</w:t>
      </w:r>
      <w:r>
        <w:rPr>
          <w:rFonts w:ascii="Verdana" w:hAnsi="Verdana"/>
          <w:sz w:val="16"/>
          <w:szCs w:val="16"/>
          <w:lang w:val="en-GB"/>
        </w:rPr>
        <w:t xml:space="preserve"> citations each, and the other (N</w:t>
      </w:r>
      <w:r>
        <w:rPr>
          <w:rFonts w:ascii="Verdana" w:hAnsi="Verdana"/>
          <w:sz w:val="16"/>
          <w:szCs w:val="16"/>
          <w:vertAlign w:val="subscript"/>
          <w:lang w:val="en-GB"/>
        </w:rPr>
        <w:t>p</w:t>
      </w:r>
      <w:r>
        <w:rPr>
          <w:rFonts w:ascii="Verdana" w:hAnsi="Verdana"/>
          <w:sz w:val="16"/>
          <w:szCs w:val="16"/>
          <w:lang w:val="en-GB"/>
        </w:rPr>
        <w:t xml:space="preserve">-h) papers have no more than </w:t>
      </w:r>
      <w:r>
        <w:rPr>
          <w:rFonts w:ascii="Verdana" w:hAnsi="Verdana"/>
          <w:i/>
          <w:sz w:val="16"/>
          <w:szCs w:val="16"/>
          <w:lang w:val="en-GB"/>
        </w:rPr>
        <w:t>h</w:t>
      </w:r>
      <w:r>
        <w:rPr>
          <w:rFonts w:ascii="Verdana" w:hAnsi="Verdana"/>
          <w:sz w:val="16"/>
          <w:szCs w:val="16"/>
          <w:lang w:val="en-GB"/>
        </w:rPr>
        <w:t xml:space="preserve"> citations each.</w:t>
      </w:r>
    </w:p>
  </w:footnote>
  <w:footnote w:id="3">
    <w:p w:rsidR="0020499E" w:rsidRDefault="008E27E1">
      <w:pPr>
        <w:pStyle w:val="FootnoteText"/>
        <w:rPr>
          <w:lang w:val="en-US"/>
        </w:rPr>
      </w:pPr>
      <w:r>
        <w:rPr>
          <w:rStyle w:val="FootnoteReference"/>
        </w:rPr>
        <w:footnoteRef/>
      </w:r>
      <w:r>
        <w:rPr>
          <w:lang w:val="en-US"/>
        </w:rPr>
        <w:t xml:space="preserve"> Source: MoES internal database, 2013</w:t>
      </w:r>
    </w:p>
  </w:footnote>
  <w:footnote w:id="4">
    <w:p w:rsidR="0020499E" w:rsidRDefault="008E27E1">
      <w:pPr>
        <w:pStyle w:val="FootnoteText"/>
        <w:rPr>
          <w:lang w:val="en-US"/>
        </w:rPr>
      </w:pPr>
      <w:r>
        <w:rPr>
          <w:rStyle w:val="FootnoteReference"/>
        </w:rPr>
        <w:footnoteRef/>
      </w:r>
      <w:r>
        <w:rPr>
          <w:lang w:val="en-US"/>
        </w:rPr>
        <w:t xml:space="preserve"> Source: ShotaRustaveli National Research Foundation, 2014</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4214"/>
    <w:multiLevelType w:val="hybridMultilevel"/>
    <w:tmpl w:val="772657A8"/>
    <w:lvl w:ilvl="0" w:tplc="DD688FA0">
      <w:numFmt w:val="bullet"/>
      <w:lvlText w:val="-"/>
      <w:lvlJc w:val="left"/>
      <w:pPr>
        <w:ind w:left="720" w:hanging="360"/>
      </w:pPr>
      <w:rPr>
        <w:rFonts w:ascii="Calibri" w:eastAsia="Calibri" w:hAnsi="Calibri"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4E473F"/>
    <w:multiLevelType w:val="hybridMultilevel"/>
    <w:tmpl w:val="F80437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A7612AF"/>
    <w:multiLevelType w:val="hybridMultilevel"/>
    <w:tmpl w:val="EB6897F8"/>
    <w:lvl w:ilvl="0" w:tplc="73167B90">
      <w:start w:val="1"/>
      <w:numFmt w:val="bullet"/>
      <w:lvlText w:val=""/>
      <w:lvlJc w:val="left"/>
      <w:pPr>
        <w:tabs>
          <w:tab w:val="num" w:pos="720"/>
        </w:tabs>
        <w:ind w:left="720" w:hanging="360"/>
      </w:pPr>
      <w:rPr>
        <w:rFonts w:ascii="Wingdings" w:hAnsi="Wingdings" w:hint="default"/>
      </w:rPr>
    </w:lvl>
    <w:lvl w:ilvl="1" w:tplc="D6007874">
      <w:numFmt w:val="bullet"/>
      <w:lvlText w:val="•"/>
      <w:lvlJc w:val="left"/>
      <w:pPr>
        <w:tabs>
          <w:tab w:val="num" w:pos="1440"/>
        </w:tabs>
        <w:ind w:left="1440" w:hanging="360"/>
      </w:pPr>
      <w:rPr>
        <w:rFonts w:ascii="Arial" w:hAnsi="Arial" w:hint="default"/>
      </w:rPr>
    </w:lvl>
    <w:lvl w:ilvl="2" w:tplc="85C6A458" w:tentative="1">
      <w:start w:val="1"/>
      <w:numFmt w:val="bullet"/>
      <w:lvlText w:val=""/>
      <w:lvlJc w:val="left"/>
      <w:pPr>
        <w:tabs>
          <w:tab w:val="num" w:pos="2160"/>
        </w:tabs>
        <w:ind w:left="2160" w:hanging="360"/>
      </w:pPr>
      <w:rPr>
        <w:rFonts w:ascii="Wingdings" w:hAnsi="Wingdings" w:hint="default"/>
      </w:rPr>
    </w:lvl>
    <w:lvl w:ilvl="3" w:tplc="3C96C20C" w:tentative="1">
      <w:start w:val="1"/>
      <w:numFmt w:val="bullet"/>
      <w:lvlText w:val=""/>
      <w:lvlJc w:val="left"/>
      <w:pPr>
        <w:tabs>
          <w:tab w:val="num" w:pos="2880"/>
        </w:tabs>
        <w:ind w:left="2880" w:hanging="360"/>
      </w:pPr>
      <w:rPr>
        <w:rFonts w:ascii="Wingdings" w:hAnsi="Wingdings" w:hint="default"/>
      </w:rPr>
    </w:lvl>
    <w:lvl w:ilvl="4" w:tplc="FD0E84A4" w:tentative="1">
      <w:start w:val="1"/>
      <w:numFmt w:val="bullet"/>
      <w:lvlText w:val=""/>
      <w:lvlJc w:val="left"/>
      <w:pPr>
        <w:tabs>
          <w:tab w:val="num" w:pos="3600"/>
        </w:tabs>
        <w:ind w:left="3600" w:hanging="360"/>
      </w:pPr>
      <w:rPr>
        <w:rFonts w:ascii="Wingdings" w:hAnsi="Wingdings" w:hint="default"/>
      </w:rPr>
    </w:lvl>
    <w:lvl w:ilvl="5" w:tplc="31864162" w:tentative="1">
      <w:start w:val="1"/>
      <w:numFmt w:val="bullet"/>
      <w:lvlText w:val=""/>
      <w:lvlJc w:val="left"/>
      <w:pPr>
        <w:tabs>
          <w:tab w:val="num" w:pos="4320"/>
        </w:tabs>
        <w:ind w:left="4320" w:hanging="360"/>
      </w:pPr>
      <w:rPr>
        <w:rFonts w:ascii="Wingdings" w:hAnsi="Wingdings" w:hint="default"/>
      </w:rPr>
    </w:lvl>
    <w:lvl w:ilvl="6" w:tplc="B224A4BC" w:tentative="1">
      <w:start w:val="1"/>
      <w:numFmt w:val="bullet"/>
      <w:lvlText w:val=""/>
      <w:lvlJc w:val="left"/>
      <w:pPr>
        <w:tabs>
          <w:tab w:val="num" w:pos="5040"/>
        </w:tabs>
        <w:ind w:left="5040" w:hanging="360"/>
      </w:pPr>
      <w:rPr>
        <w:rFonts w:ascii="Wingdings" w:hAnsi="Wingdings" w:hint="default"/>
      </w:rPr>
    </w:lvl>
    <w:lvl w:ilvl="7" w:tplc="40CAEE8C" w:tentative="1">
      <w:start w:val="1"/>
      <w:numFmt w:val="bullet"/>
      <w:lvlText w:val=""/>
      <w:lvlJc w:val="left"/>
      <w:pPr>
        <w:tabs>
          <w:tab w:val="num" w:pos="5760"/>
        </w:tabs>
        <w:ind w:left="5760" w:hanging="360"/>
      </w:pPr>
      <w:rPr>
        <w:rFonts w:ascii="Wingdings" w:hAnsi="Wingdings" w:hint="default"/>
      </w:rPr>
    </w:lvl>
    <w:lvl w:ilvl="8" w:tplc="F67CB692" w:tentative="1">
      <w:start w:val="1"/>
      <w:numFmt w:val="bullet"/>
      <w:lvlText w:val=""/>
      <w:lvlJc w:val="left"/>
      <w:pPr>
        <w:tabs>
          <w:tab w:val="num" w:pos="6480"/>
        </w:tabs>
        <w:ind w:left="6480" w:hanging="360"/>
      </w:pPr>
      <w:rPr>
        <w:rFonts w:ascii="Wingdings" w:hAnsi="Wingdings" w:hint="default"/>
      </w:rPr>
    </w:lvl>
  </w:abstractNum>
  <w:abstractNum w:abstractNumId="3">
    <w:nsid w:val="0CCD3643"/>
    <w:multiLevelType w:val="hybridMultilevel"/>
    <w:tmpl w:val="D5CC9B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24C1FBB"/>
    <w:multiLevelType w:val="hybridMultilevel"/>
    <w:tmpl w:val="DCEE55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7374105"/>
    <w:multiLevelType w:val="hybridMultilevel"/>
    <w:tmpl w:val="199618D0"/>
    <w:lvl w:ilvl="0" w:tplc="B77EDA12">
      <w:start w:val="1"/>
      <w:numFmt w:val="decimal"/>
      <w:lvlText w:val="%1."/>
      <w:lvlJc w:val="left"/>
      <w:pPr>
        <w:tabs>
          <w:tab w:val="num" w:pos="1440"/>
        </w:tabs>
        <w:ind w:left="1440" w:hanging="360"/>
      </w:pPr>
      <w:rPr>
        <w:rFonts w:hint="default"/>
      </w:rPr>
    </w:lvl>
    <w:lvl w:ilvl="1" w:tplc="04250019">
      <w:start w:val="1"/>
      <w:numFmt w:val="lowerLetter"/>
      <w:lvlText w:val="%2."/>
      <w:lvlJc w:val="left"/>
      <w:pPr>
        <w:tabs>
          <w:tab w:val="num" w:pos="2160"/>
        </w:tabs>
        <w:ind w:left="2160" w:hanging="360"/>
      </w:pPr>
      <w:rPr>
        <w:rFonts w:hint="default"/>
      </w:rPr>
    </w:lvl>
    <w:lvl w:ilvl="2" w:tplc="04190001">
      <w:start w:val="1"/>
      <w:numFmt w:val="bullet"/>
      <w:lvlText w:val=""/>
      <w:lvlJc w:val="left"/>
      <w:pPr>
        <w:tabs>
          <w:tab w:val="num" w:pos="3060"/>
        </w:tabs>
        <w:ind w:left="3060" w:hanging="360"/>
      </w:pPr>
      <w:rPr>
        <w:rFonts w:ascii="Symbol" w:hAnsi="Symbol" w:hint="default"/>
      </w:rPr>
    </w:lvl>
    <w:lvl w:ilvl="3" w:tplc="0425000F" w:tentative="1">
      <w:start w:val="1"/>
      <w:numFmt w:val="decimal"/>
      <w:lvlText w:val="%4."/>
      <w:lvlJc w:val="left"/>
      <w:pPr>
        <w:tabs>
          <w:tab w:val="num" w:pos="3600"/>
        </w:tabs>
        <w:ind w:left="3600" w:hanging="360"/>
      </w:pPr>
    </w:lvl>
    <w:lvl w:ilvl="4" w:tplc="04250019" w:tentative="1">
      <w:start w:val="1"/>
      <w:numFmt w:val="lowerLetter"/>
      <w:lvlText w:val="%5."/>
      <w:lvlJc w:val="left"/>
      <w:pPr>
        <w:tabs>
          <w:tab w:val="num" w:pos="4320"/>
        </w:tabs>
        <w:ind w:left="4320" w:hanging="360"/>
      </w:pPr>
    </w:lvl>
    <w:lvl w:ilvl="5" w:tplc="0425001B" w:tentative="1">
      <w:start w:val="1"/>
      <w:numFmt w:val="lowerRoman"/>
      <w:lvlText w:val="%6."/>
      <w:lvlJc w:val="right"/>
      <w:pPr>
        <w:tabs>
          <w:tab w:val="num" w:pos="5040"/>
        </w:tabs>
        <w:ind w:left="5040" w:hanging="180"/>
      </w:pPr>
    </w:lvl>
    <w:lvl w:ilvl="6" w:tplc="0425000F" w:tentative="1">
      <w:start w:val="1"/>
      <w:numFmt w:val="decimal"/>
      <w:lvlText w:val="%7."/>
      <w:lvlJc w:val="left"/>
      <w:pPr>
        <w:tabs>
          <w:tab w:val="num" w:pos="5760"/>
        </w:tabs>
        <w:ind w:left="5760" w:hanging="360"/>
      </w:pPr>
    </w:lvl>
    <w:lvl w:ilvl="7" w:tplc="04250019" w:tentative="1">
      <w:start w:val="1"/>
      <w:numFmt w:val="lowerLetter"/>
      <w:lvlText w:val="%8."/>
      <w:lvlJc w:val="left"/>
      <w:pPr>
        <w:tabs>
          <w:tab w:val="num" w:pos="6480"/>
        </w:tabs>
        <w:ind w:left="6480" w:hanging="360"/>
      </w:pPr>
    </w:lvl>
    <w:lvl w:ilvl="8" w:tplc="0425001B" w:tentative="1">
      <w:start w:val="1"/>
      <w:numFmt w:val="lowerRoman"/>
      <w:lvlText w:val="%9."/>
      <w:lvlJc w:val="right"/>
      <w:pPr>
        <w:tabs>
          <w:tab w:val="num" w:pos="7200"/>
        </w:tabs>
        <w:ind w:left="7200" w:hanging="180"/>
      </w:pPr>
    </w:lvl>
  </w:abstractNum>
  <w:abstractNum w:abstractNumId="6">
    <w:nsid w:val="180416E2"/>
    <w:multiLevelType w:val="hybridMultilevel"/>
    <w:tmpl w:val="47722C5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nsid w:val="185C48AA"/>
    <w:multiLevelType w:val="hybridMultilevel"/>
    <w:tmpl w:val="D9845AE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8DA11C3"/>
    <w:multiLevelType w:val="hybridMultilevel"/>
    <w:tmpl w:val="6DF600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8D50C1B2">
      <w:numFmt w:val="bullet"/>
      <w:lvlText w:val="-"/>
      <w:lvlJc w:val="left"/>
      <w:pPr>
        <w:ind w:left="2160" w:hanging="360"/>
      </w:pPr>
      <w:rPr>
        <w:rFonts w:ascii="Calibri" w:eastAsiaTheme="minorHAnsi" w:hAnsi="Calibri" w:cstheme="minorBidi"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nsid w:val="197C544F"/>
    <w:multiLevelType w:val="hybridMultilevel"/>
    <w:tmpl w:val="2F9AAA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AA57A7"/>
    <w:multiLevelType w:val="hybridMultilevel"/>
    <w:tmpl w:val="B9988A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1CC91260"/>
    <w:multiLevelType w:val="hybridMultilevel"/>
    <w:tmpl w:val="38DEEB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1E9A293B"/>
    <w:multiLevelType w:val="hybridMultilevel"/>
    <w:tmpl w:val="4E2A2E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01865B3"/>
    <w:multiLevelType w:val="hybridMultilevel"/>
    <w:tmpl w:val="E0248792"/>
    <w:lvl w:ilvl="0" w:tplc="6AF8313A">
      <w:start w:val="3040"/>
      <w:numFmt w:val="decimal"/>
      <w:lvlText w:val="%1"/>
      <w:lvlJc w:val="left"/>
      <w:pPr>
        <w:ind w:left="744" w:hanging="3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0F5729"/>
    <w:multiLevelType w:val="hybridMultilevel"/>
    <w:tmpl w:val="C5E6BA4C"/>
    <w:lvl w:ilvl="0" w:tplc="040C0001">
      <w:start w:val="1"/>
      <w:numFmt w:val="bullet"/>
      <w:lvlText w:val=""/>
      <w:lvlJc w:val="left"/>
      <w:pPr>
        <w:ind w:left="788" w:hanging="360"/>
      </w:pPr>
      <w:rPr>
        <w:rFonts w:ascii="Symbol" w:hAnsi="Symbol" w:hint="default"/>
      </w:rPr>
    </w:lvl>
    <w:lvl w:ilvl="1" w:tplc="6832AE26">
      <w:start w:val="5"/>
      <w:numFmt w:val="bullet"/>
      <w:lvlText w:val="•"/>
      <w:lvlJc w:val="left"/>
      <w:pPr>
        <w:ind w:left="1508" w:hanging="360"/>
      </w:pPr>
      <w:rPr>
        <w:rFonts w:ascii="Times New Roman" w:eastAsia="Times New Roman" w:hAnsi="Times New Roman" w:cs="Times New Roman" w:hint="default"/>
      </w:rPr>
    </w:lvl>
    <w:lvl w:ilvl="2" w:tplc="040C0005" w:tentative="1">
      <w:start w:val="1"/>
      <w:numFmt w:val="bullet"/>
      <w:lvlText w:val=""/>
      <w:lvlJc w:val="left"/>
      <w:pPr>
        <w:ind w:left="2228" w:hanging="360"/>
      </w:pPr>
      <w:rPr>
        <w:rFonts w:ascii="Wingdings" w:hAnsi="Wingdings" w:hint="default"/>
      </w:rPr>
    </w:lvl>
    <w:lvl w:ilvl="3" w:tplc="040C0001" w:tentative="1">
      <w:start w:val="1"/>
      <w:numFmt w:val="bullet"/>
      <w:lvlText w:val=""/>
      <w:lvlJc w:val="left"/>
      <w:pPr>
        <w:ind w:left="2948" w:hanging="360"/>
      </w:pPr>
      <w:rPr>
        <w:rFonts w:ascii="Symbol" w:hAnsi="Symbol" w:hint="default"/>
      </w:rPr>
    </w:lvl>
    <w:lvl w:ilvl="4" w:tplc="040C0003" w:tentative="1">
      <w:start w:val="1"/>
      <w:numFmt w:val="bullet"/>
      <w:lvlText w:val="o"/>
      <w:lvlJc w:val="left"/>
      <w:pPr>
        <w:ind w:left="3668" w:hanging="360"/>
      </w:pPr>
      <w:rPr>
        <w:rFonts w:ascii="Courier New" w:hAnsi="Courier New" w:cs="Courier New" w:hint="default"/>
      </w:rPr>
    </w:lvl>
    <w:lvl w:ilvl="5" w:tplc="040C0005" w:tentative="1">
      <w:start w:val="1"/>
      <w:numFmt w:val="bullet"/>
      <w:lvlText w:val=""/>
      <w:lvlJc w:val="left"/>
      <w:pPr>
        <w:ind w:left="4388" w:hanging="360"/>
      </w:pPr>
      <w:rPr>
        <w:rFonts w:ascii="Wingdings" w:hAnsi="Wingdings" w:hint="default"/>
      </w:rPr>
    </w:lvl>
    <w:lvl w:ilvl="6" w:tplc="040C0001" w:tentative="1">
      <w:start w:val="1"/>
      <w:numFmt w:val="bullet"/>
      <w:lvlText w:val=""/>
      <w:lvlJc w:val="left"/>
      <w:pPr>
        <w:ind w:left="5108" w:hanging="360"/>
      </w:pPr>
      <w:rPr>
        <w:rFonts w:ascii="Symbol" w:hAnsi="Symbol" w:hint="default"/>
      </w:rPr>
    </w:lvl>
    <w:lvl w:ilvl="7" w:tplc="040C0003" w:tentative="1">
      <w:start w:val="1"/>
      <w:numFmt w:val="bullet"/>
      <w:lvlText w:val="o"/>
      <w:lvlJc w:val="left"/>
      <w:pPr>
        <w:ind w:left="5828" w:hanging="360"/>
      </w:pPr>
      <w:rPr>
        <w:rFonts w:ascii="Courier New" w:hAnsi="Courier New" w:cs="Courier New" w:hint="default"/>
      </w:rPr>
    </w:lvl>
    <w:lvl w:ilvl="8" w:tplc="040C0005" w:tentative="1">
      <w:start w:val="1"/>
      <w:numFmt w:val="bullet"/>
      <w:lvlText w:val=""/>
      <w:lvlJc w:val="left"/>
      <w:pPr>
        <w:ind w:left="6548" w:hanging="360"/>
      </w:pPr>
      <w:rPr>
        <w:rFonts w:ascii="Wingdings" w:hAnsi="Wingdings" w:hint="default"/>
      </w:rPr>
    </w:lvl>
  </w:abstractNum>
  <w:abstractNum w:abstractNumId="15">
    <w:nsid w:val="224B622F"/>
    <w:multiLevelType w:val="hybridMultilevel"/>
    <w:tmpl w:val="2F9AAA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3901754"/>
    <w:multiLevelType w:val="hybridMultilevel"/>
    <w:tmpl w:val="502286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44365AD"/>
    <w:multiLevelType w:val="hybridMultilevel"/>
    <w:tmpl w:val="2F9AAA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5626A5"/>
    <w:multiLevelType w:val="hybridMultilevel"/>
    <w:tmpl w:val="CB2E1D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2A373322"/>
    <w:multiLevelType w:val="hybridMultilevel"/>
    <w:tmpl w:val="2F9AAA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646D46"/>
    <w:multiLevelType w:val="hybridMultilevel"/>
    <w:tmpl w:val="8F1A628A"/>
    <w:lvl w:ilvl="0" w:tplc="040C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D68935E">
      <w:start w:val="3"/>
      <w:numFmt w:val="bullet"/>
      <w:lvlText w:val="-"/>
      <w:lvlJc w:val="left"/>
      <w:pPr>
        <w:ind w:left="2160" w:hanging="360"/>
      </w:pPr>
      <w:rPr>
        <w:rFonts w:ascii="Calibri Light" w:eastAsia="Calibri" w:hAnsi="Calibri Light" w:cs="Helvetica Neue"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2C2F5106"/>
    <w:multiLevelType w:val="hybridMultilevel"/>
    <w:tmpl w:val="204C8FFE"/>
    <w:lvl w:ilvl="0" w:tplc="ACD854EC">
      <w:start w:val="1"/>
      <w:numFmt w:val="bullet"/>
      <w:lvlText w:val=""/>
      <w:lvlJc w:val="left"/>
      <w:pPr>
        <w:tabs>
          <w:tab w:val="num" w:pos="720"/>
        </w:tabs>
        <w:ind w:left="720" w:hanging="360"/>
      </w:pPr>
      <w:rPr>
        <w:rFonts w:ascii="Symbol" w:hAnsi="Symbol" w:hint="default"/>
        <w:sz w:val="2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2CBF4454"/>
    <w:multiLevelType w:val="hybridMultilevel"/>
    <w:tmpl w:val="0B88BEC4"/>
    <w:lvl w:ilvl="0" w:tplc="E4648624">
      <w:start w:val="1"/>
      <w:numFmt w:val="bullet"/>
      <w:lvlText w:val=""/>
      <w:lvlJc w:val="left"/>
      <w:pPr>
        <w:tabs>
          <w:tab w:val="num" w:pos="720"/>
        </w:tabs>
        <w:ind w:left="720" w:hanging="360"/>
      </w:pPr>
      <w:rPr>
        <w:rFonts w:ascii="Symbol" w:hAnsi="Symbol" w:hint="default"/>
      </w:rPr>
    </w:lvl>
    <w:lvl w:ilvl="1" w:tplc="B6C88A4A" w:tentative="1">
      <w:start w:val="1"/>
      <w:numFmt w:val="bullet"/>
      <w:lvlText w:val=""/>
      <w:lvlJc w:val="left"/>
      <w:pPr>
        <w:tabs>
          <w:tab w:val="num" w:pos="1440"/>
        </w:tabs>
        <w:ind w:left="1440" w:hanging="360"/>
      </w:pPr>
      <w:rPr>
        <w:rFonts w:ascii="Symbol" w:hAnsi="Symbol" w:hint="default"/>
      </w:rPr>
    </w:lvl>
    <w:lvl w:ilvl="2" w:tplc="CE227D4E" w:tentative="1">
      <w:start w:val="1"/>
      <w:numFmt w:val="bullet"/>
      <w:lvlText w:val=""/>
      <w:lvlJc w:val="left"/>
      <w:pPr>
        <w:tabs>
          <w:tab w:val="num" w:pos="2160"/>
        </w:tabs>
        <w:ind w:left="2160" w:hanging="360"/>
      </w:pPr>
      <w:rPr>
        <w:rFonts w:ascii="Symbol" w:hAnsi="Symbol" w:hint="default"/>
      </w:rPr>
    </w:lvl>
    <w:lvl w:ilvl="3" w:tplc="BFFA9336" w:tentative="1">
      <w:start w:val="1"/>
      <w:numFmt w:val="bullet"/>
      <w:lvlText w:val=""/>
      <w:lvlJc w:val="left"/>
      <w:pPr>
        <w:tabs>
          <w:tab w:val="num" w:pos="2880"/>
        </w:tabs>
        <w:ind w:left="2880" w:hanging="360"/>
      </w:pPr>
      <w:rPr>
        <w:rFonts w:ascii="Symbol" w:hAnsi="Symbol" w:hint="default"/>
      </w:rPr>
    </w:lvl>
    <w:lvl w:ilvl="4" w:tplc="108ACCDA" w:tentative="1">
      <w:start w:val="1"/>
      <w:numFmt w:val="bullet"/>
      <w:lvlText w:val=""/>
      <w:lvlJc w:val="left"/>
      <w:pPr>
        <w:tabs>
          <w:tab w:val="num" w:pos="3600"/>
        </w:tabs>
        <w:ind w:left="3600" w:hanging="360"/>
      </w:pPr>
      <w:rPr>
        <w:rFonts w:ascii="Symbol" w:hAnsi="Symbol" w:hint="default"/>
      </w:rPr>
    </w:lvl>
    <w:lvl w:ilvl="5" w:tplc="7EA4D9DA" w:tentative="1">
      <w:start w:val="1"/>
      <w:numFmt w:val="bullet"/>
      <w:lvlText w:val=""/>
      <w:lvlJc w:val="left"/>
      <w:pPr>
        <w:tabs>
          <w:tab w:val="num" w:pos="4320"/>
        </w:tabs>
        <w:ind w:left="4320" w:hanging="360"/>
      </w:pPr>
      <w:rPr>
        <w:rFonts w:ascii="Symbol" w:hAnsi="Symbol" w:hint="default"/>
      </w:rPr>
    </w:lvl>
    <w:lvl w:ilvl="6" w:tplc="1F148DF0" w:tentative="1">
      <w:start w:val="1"/>
      <w:numFmt w:val="bullet"/>
      <w:lvlText w:val=""/>
      <w:lvlJc w:val="left"/>
      <w:pPr>
        <w:tabs>
          <w:tab w:val="num" w:pos="5040"/>
        </w:tabs>
        <w:ind w:left="5040" w:hanging="360"/>
      </w:pPr>
      <w:rPr>
        <w:rFonts w:ascii="Symbol" w:hAnsi="Symbol" w:hint="default"/>
      </w:rPr>
    </w:lvl>
    <w:lvl w:ilvl="7" w:tplc="A5DC68A4" w:tentative="1">
      <w:start w:val="1"/>
      <w:numFmt w:val="bullet"/>
      <w:lvlText w:val=""/>
      <w:lvlJc w:val="left"/>
      <w:pPr>
        <w:tabs>
          <w:tab w:val="num" w:pos="5760"/>
        </w:tabs>
        <w:ind w:left="5760" w:hanging="360"/>
      </w:pPr>
      <w:rPr>
        <w:rFonts w:ascii="Symbol" w:hAnsi="Symbol" w:hint="default"/>
      </w:rPr>
    </w:lvl>
    <w:lvl w:ilvl="8" w:tplc="FDAE88F4" w:tentative="1">
      <w:start w:val="1"/>
      <w:numFmt w:val="bullet"/>
      <w:lvlText w:val=""/>
      <w:lvlJc w:val="left"/>
      <w:pPr>
        <w:tabs>
          <w:tab w:val="num" w:pos="6480"/>
        </w:tabs>
        <w:ind w:left="6480" w:hanging="360"/>
      </w:pPr>
      <w:rPr>
        <w:rFonts w:ascii="Symbol" w:hAnsi="Symbol" w:hint="default"/>
      </w:rPr>
    </w:lvl>
  </w:abstractNum>
  <w:abstractNum w:abstractNumId="23">
    <w:nsid w:val="30CB1A02"/>
    <w:multiLevelType w:val="hybridMultilevel"/>
    <w:tmpl w:val="CF3229F4"/>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31CF1150"/>
    <w:multiLevelType w:val="hybridMultilevel"/>
    <w:tmpl w:val="FE628C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324C508A"/>
    <w:multiLevelType w:val="multilevel"/>
    <w:tmpl w:val="09E4E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4B7110C"/>
    <w:multiLevelType w:val="hybridMultilevel"/>
    <w:tmpl w:val="680855F8"/>
    <w:lvl w:ilvl="0" w:tplc="6832AE26">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nsid w:val="3D4D6312"/>
    <w:multiLevelType w:val="hybridMultilevel"/>
    <w:tmpl w:val="EDA2E2AA"/>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8">
    <w:nsid w:val="3E980425"/>
    <w:multiLevelType w:val="hybridMultilevel"/>
    <w:tmpl w:val="DAA480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8176B80"/>
    <w:multiLevelType w:val="hybridMultilevel"/>
    <w:tmpl w:val="D8AA99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48BE74F1"/>
    <w:multiLevelType w:val="hybridMultilevel"/>
    <w:tmpl w:val="81ECA976"/>
    <w:lvl w:ilvl="0" w:tplc="8D50C1B2">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4A5739D3"/>
    <w:multiLevelType w:val="hybridMultilevel"/>
    <w:tmpl w:val="06ECCAC0"/>
    <w:lvl w:ilvl="0" w:tplc="ACD854EC">
      <w:start w:val="1"/>
      <w:numFmt w:val="bullet"/>
      <w:lvlText w:val=""/>
      <w:lvlJc w:val="left"/>
      <w:pPr>
        <w:tabs>
          <w:tab w:val="num" w:pos="720"/>
        </w:tabs>
        <w:ind w:left="720" w:hanging="36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nsid w:val="4EAB3280"/>
    <w:multiLevelType w:val="hybridMultilevel"/>
    <w:tmpl w:val="14E03CA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nsid w:val="55B8413F"/>
    <w:multiLevelType w:val="hybridMultilevel"/>
    <w:tmpl w:val="B3DA317E"/>
    <w:lvl w:ilvl="0" w:tplc="ACD854EC">
      <w:start w:val="1"/>
      <w:numFmt w:val="bullet"/>
      <w:lvlText w:val=""/>
      <w:lvlJc w:val="left"/>
      <w:pPr>
        <w:tabs>
          <w:tab w:val="num" w:pos="720"/>
        </w:tabs>
        <w:ind w:left="720" w:hanging="360"/>
      </w:pPr>
      <w:rPr>
        <w:rFonts w:ascii="Symbol" w:hAnsi="Symbol" w:hint="default"/>
        <w:sz w:val="2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nsid w:val="5A251344"/>
    <w:multiLevelType w:val="hybridMultilevel"/>
    <w:tmpl w:val="2F9AAA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B3706EC"/>
    <w:multiLevelType w:val="hybridMultilevel"/>
    <w:tmpl w:val="7CE01808"/>
    <w:lvl w:ilvl="0" w:tplc="040C0011">
      <w:start w:val="1"/>
      <w:numFmt w:val="decimal"/>
      <w:lvlText w:val="%1)"/>
      <w:lvlJc w:val="left"/>
      <w:pPr>
        <w:ind w:left="720" w:hanging="360"/>
      </w:pPr>
      <w:rPr>
        <w:rFonts w:cs="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5B370ADF"/>
    <w:multiLevelType w:val="hybridMultilevel"/>
    <w:tmpl w:val="6F348E68"/>
    <w:lvl w:ilvl="0" w:tplc="ACD854EC">
      <w:start w:val="1"/>
      <w:numFmt w:val="bullet"/>
      <w:lvlText w:val=""/>
      <w:lvlJc w:val="left"/>
      <w:pPr>
        <w:ind w:left="1440" w:hanging="360"/>
      </w:pPr>
      <w:rPr>
        <w:rFonts w:ascii="Symbol" w:hAnsi="Symbol" w:hint="default"/>
        <w:sz w:val="20"/>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7">
    <w:nsid w:val="5BDC3F65"/>
    <w:multiLevelType w:val="hybridMultilevel"/>
    <w:tmpl w:val="7B4CB178"/>
    <w:lvl w:ilvl="0" w:tplc="ACD854EC">
      <w:start w:val="1"/>
      <w:numFmt w:val="bullet"/>
      <w:lvlText w:val=""/>
      <w:lvlJc w:val="left"/>
      <w:pPr>
        <w:ind w:left="1440" w:hanging="360"/>
      </w:pPr>
      <w:rPr>
        <w:rFonts w:ascii="Symbol" w:hAnsi="Symbol" w:hint="default"/>
        <w:sz w:val="20"/>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8">
    <w:nsid w:val="5BEB1872"/>
    <w:multiLevelType w:val="hybridMultilevel"/>
    <w:tmpl w:val="EFD20B50"/>
    <w:lvl w:ilvl="0" w:tplc="8D50C1B2">
      <w:numFmt w:val="bullet"/>
      <w:lvlText w:val="-"/>
      <w:lvlJc w:val="left"/>
      <w:pPr>
        <w:ind w:left="742" w:hanging="360"/>
      </w:pPr>
      <w:rPr>
        <w:rFonts w:ascii="Calibri" w:eastAsiaTheme="minorHAnsi" w:hAnsi="Calibri" w:cstheme="minorBidi" w:hint="default"/>
      </w:rPr>
    </w:lvl>
    <w:lvl w:ilvl="1" w:tplc="040C0003" w:tentative="1">
      <w:start w:val="1"/>
      <w:numFmt w:val="bullet"/>
      <w:lvlText w:val="o"/>
      <w:lvlJc w:val="left"/>
      <w:pPr>
        <w:ind w:left="1462" w:hanging="360"/>
      </w:pPr>
      <w:rPr>
        <w:rFonts w:ascii="Courier New" w:hAnsi="Courier New" w:cs="Courier New" w:hint="default"/>
      </w:rPr>
    </w:lvl>
    <w:lvl w:ilvl="2" w:tplc="040C0005" w:tentative="1">
      <w:start w:val="1"/>
      <w:numFmt w:val="bullet"/>
      <w:lvlText w:val=""/>
      <w:lvlJc w:val="left"/>
      <w:pPr>
        <w:ind w:left="2182" w:hanging="360"/>
      </w:pPr>
      <w:rPr>
        <w:rFonts w:ascii="Wingdings" w:hAnsi="Wingdings" w:hint="default"/>
      </w:rPr>
    </w:lvl>
    <w:lvl w:ilvl="3" w:tplc="040C0001" w:tentative="1">
      <w:start w:val="1"/>
      <w:numFmt w:val="bullet"/>
      <w:lvlText w:val=""/>
      <w:lvlJc w:val="left"/>
      <w:pPr>
        <w:ind w:left="2902" w:hanging="360"/>
      </w:pPr>
      <w:rPr>
        <w:rFonts w:ascii="Symbol" w:hAnsi="Symbol" w:hint="default"/>
      </w:rPr>
    </w:lvl>
    <w:lvl w:ilvl="4" w:tplc="040C0003" w:tentative="1">
      <w:start w:val="1"/>
      <w:numFmt w:val="bullet"/>
      <w:lvlText w:val="o"/>
      <w:lvlJc w:val="left"/>
      <w:pPr>
        <w:ind w:left="3622" w:hanging="360"/>
      </w:pPr>
      <w:rPr>
        <w:rFonts w:ascii="Courier New" w:hAnsi="Courier New" w:cs="Courier New" w:hint="default"/>
      </w:rPr>
    </w:lvl>
    <w:lvl w:ilvl="5" w:tplc="040C0005" w:tentative="1">
      <w:start w:val="1"/>
      <w:numFmt w:val="bullet"/>
      <w:lvlText w:val=""/>
      <w:lvlJc w:val="left"/>
      <w:pPr>
        <w:ind w:left="4342" w:hanging="360"/>
      </w:pPr>
      <w:rPr>
        <w:rFonts w:ascii="Wingdings" w:hAnsi="Wingdings" w:hint="default"/>
      </w:rPr>
    </w:lvl>
    <w:lvl w:ilvl="6" w:tplc="040C0001" w:tentative="1">
      <w:start w:val="1"/>
      <w:numFmt w:val="bullet"/>
      <w:lvlText w:val=""/>
      <w:lvlJc w:val="left"/>
      <w:pPr>
        <w:ind w:left="5062" w:hanging="360"/>
      </w:pPr>
      <w:rPr>
        <w:rFonts w:ascii="Symbol" w:hAnsi="Symbol" w:hint="default"/>
      </w:rPr>
    </w:lvl>
    <w:lvl w:ilvl="7" w:tplc="040C0003" w:tentative="1">
      <w:start w:val="1"/>
      <w:numFmt w:val="bullet"/>
      <w:lvlText w:val="o"/>
      <w:lvlJc w:val="left"/>
      <w:pPr>
        <w:ind w:left="5782" w:hanging="360"/>
      </w:pPr>
      <w:rPr>
        <w:rFonts w:ascii="Courier New" w:hAnsi="Courier New" w:cs="Courier New" w:hint="default"/>
      </w:rPr>
    </w:lvl>
    <w:lvl w:ilvl="8" w:tplc="040C0005" w:tentative="1">
      <w:start w:val="1"/>
      <w:numFmt w:val="bullet"/>
      <w:lvlText w:val=""/>
      <w:lvlJc w:val="left"/>
      <w:pPr>
        <w:ind w:left="6502" w:hanging="360"/>
      </w:pPr>
      <w:rPr>
        <w:rFonts w:ascii="Wingdings" w:hAnsi="Wingdings" w:hint="default"/>
      </w:rPr>
    </w:lvl>
  </w:abstractNum>
  <w:abstractNum w:abstractNumId="39">
    <w:nsid w:val="5CA60EAB"/>
    <w:multiLevelType w:val="hybridMultilevel"/>
    <w:tmpl w:val="CBF88FA8"/>
    <w:lvl w:ilvl="0" w:tplc="ACD854EC">
      <w:start w:val="1"/>
      <w:numFmt w:val="bullet"/>
      <w:lvlText w:val=""/>
      <w:lvlJc w:val="left"/>
      <w:pPr>
        <w:tabs>
          <w:tab w:val="num" w:pos="720"/>
        </w:tabs>
        <w:ind w:left="720" w:hanging="360"/>
      </w:pPr>
      <w:rPr>
        <w:rFonts w:ascii="Symbol" w:hAnsi="Symbol" w:hint="default"/>
        <w:sz w:val="20"/>
      </w:rPr>
    </w:lvl>
    <w:lvl w:ilvl="1" w:tplc="040C0003">
      <w:start w:val="1"/>
      <w:numFmt w:val="bullet"/>
      <w:lvlText w:val="o"/>
      <w:lvlJc w:val="left"/>
      <w:pPr>
        <w:tabs>
          <w:tab w:val="num" w:pos="1440"/>
        </w:tabs>
        <w:ind w:left="1440" w:hanging="360"/>
      </w:pPr>
      <w:rPr>
        <w:rFonts w:ascii="Courier New" w:hAnsi="Courier New" w:cs="Courier New" w:hint="default"/>
        <w:sz w:val="20"/>
      </w:rPr>
    </w:lvl>
    <w:lvl w:ilvl="2" w:tplc="ACD854EC">
      <w:start w:val="1"/>
      <w:numFmt w:val="bullet"/>
      <w:lvlText w:val=""/>
      <w:lvlJc w:val="left"/>
      <w:pPr>
        <w:tabs>
          <w:tab w:val="num" w:pos="2160"/>
        </w:tabs>
        <w:ind w:left="2160" w:hanging="360"/>
      </w:pPr>
      <w:rPr>
        <w:rFonts w:ascii="Symbol" w:hAnsi="Symbol" w:hint="default"/>
        <w:sz w:val="20"/>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nsid w:val="5D4B4283"/>
    <w:multiLevelType w:val="hybridMultilevel"/>
    <w:tmpl w:val="66E84DA8"/>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41">
    <w:nsid w:val="61D04374"/>
    <w:multiLevelType w:val="hybridMultilevel"/>
    <w:tmpl w:val="E992189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64AF5CD7"/>
    <w:multiLevelType w:val="multilevel"/>
    <w:tmpl w:val="F9FC05EA"/>
    <w:lvl w:ilvl="0">
      <w:start w:val="1"/>
      <w:numFmt w:val="decimal"/>
      <w:pStyle w:val="Heading1"/>
      <w:lvlText w:val="%1."/>
      <w:lvlJc w:val="left"/>
      <w:pPr>
        <w:ind w:left="360" w:hanging="360"/>
      </w:pPr>
      <w:rPr>
        <w:rFonts w:hint="default"/>
      </w:rPr>
    </w:lvl>
    <w:lvl w:ilvl="1">
      <w:start w:val="3"/>
      <w:numFmt w:val="decimal"/>
      <w:isLgl/>
      <w:lvlText w:val="%1.%2"/>
      <w:lvlJc w:val="left"/>
      <w:pPr>
        <w:ind w:left="720" w:hanging="720"/>
      </w:pPr>
      <w:rPr>
        <w:rFonts w:hint="default"/>
        <w:color w:val="auto"/>
      </w:rPr>
    </w:lvl>
    <w:lvl w:ilvl="2">
      <w:start w:val="3"/>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color w:val="auto"/>
      </w:rPr>
    </w:lvl>
    <w:lvl w:ilvl="4">
      <w:start w:val="1"/>
      <w:numFmt w:val="decimal"/>
      <w:isLgl/>
      <w:lvlText w:val="%1.%2.%3.%4.%5"/>
      <w:lvlJc w:val="left"/>
      <w:pPr>
        <w:ind w:left="1440" w:hanging="1440"/>
      </w:pPr>
      <w:rPr>
        <w:rFonts w:hint="default"/>
        <w:color w:val="auto"/>
      </w:rPr>
    </w:lvl>
    <w:lvl w:ilvl="5">
      <w:start w:val="1"/>
      <w:numFmt w:val="decimal"/>
      <w:isLgl/>
      <w:lvlText w:val="%1.%2.%3.%4.%5.%6"/>
      <w:lvlJc w:val="left"/>
      <w:pPr>
        <w:ind w:left="1440" w:hanging="1440"/>
      </w:pPr>
      <w:rPr>
        <w:rFonts w:hint="default"/>
        <w:color w:val="auto"/>
      </w:rPr>
    </w:lvl>
    <w:lvl w:ilvl="6">
      <w:start w:val="1"/>
      <w:numFmt w:val="decimal"/>
      <w:isLgl/>
      <w:lvlText w:val="%1.%2.%3.%4.%5.%6.%7"/>
      <w:lvlJc w:val="left"/>
      <w:pPr>
        <w:ind w:left="1800" w:hanging="1800"/>
      </w:pPr>
      <w:rPr>
        <w:rFonts w:hint="default"/>
        <w:color w:val="auto"/>
      </w:rPr>
    </w:lvl>
    <w:lvl w:ilvl="7">
      <w:start w:val="1"/>
      <w:numFmt w:val="decimal"/>
      <w:isLgl/>
      <w:lvlText w:val="%1.%2.%3.%4.%5.%6.%7.%8"/>
      <w:lvlJc w:val="left"/>
      <w:pPr>
        <w:ind w:left="2160" w:hanging="2160"/>
      </w:pPr>
      <w:rPr>
        <w:rFonts w:hint="default"/>
        <w:color w:val="auto"/>
      </w:rPr>
    </w:lvl>
    <w:lvl w:ilvl="8">
      <w:start w:val="1"/>
      <w:numFmt w:val="decimal"/>
      <w:isLgl/>
      <w:lvlText w:val="%1.%2.%3.%4.%5.%6.%7.%8.%9"/>
      <w:lvlJc w:val="left"/>
      <w:pPr>
        <w:ind w:left="2160" w:hanging="2160"/>
      </w:pPr>
      <w:rPr>
        <w:rFonts w:hint="default"/>
        <w:color w:val="auto"/>
      </w:rPr>
    </w:lvl>
  </w:abstractNum>
  <w:abstractNum w:abstractNumId="43">
    <w:nsid w:val="6FCA737B"/>
    <w:multiLevelType w:val="hybridMultilevel"/>
    <w:tmpl w:val="007266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70535D73"/>
    <w:multiLevelType w:val="hybridMultilevel"/>
    <w:tmpl w:val="9738B610"/>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nsid w:val="71F46268"/>
    <w:multiLevelType w:val="hybridMultilevel"/>
    <w:tmpl w:val="B8FC0F26"/>
    <w:lvl w:ilvl="0" w:tplc="7C1E1C44">
      <w:start w:val="2007"/>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6">
    <w:nsid w:val="7C440D67"/>
    <w:multiLevelType w:val="hybridMultilevel"/>
    <w:tmpl w:val="C160F7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nsid w:val="7CC57313"/>
    <w:multiLevelType w:val="hybridMultilevel"/>
    <w:tmpl w:val="F2229B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nsid w:val="7F77435B"/>
    <w:multiLevelType w:val="hybridMultilevel"/>
    <w:tmpl w:val="580E64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42"/>
  </w:num>
  <w:num w:numId="4">
    <w:abstractNumId w:val="47"/>
  </w:num>
  <w:num w:numId="5">
    <w:abstractNumId w:val="6"/>
  </w:num>
  <w:num w:numId="6">
    <w:abstractNumId w:val="8"/>
  </w:num>
  <w:num w:numId="7">
    <w:abstractNumId w:val="25"/>
  </w:num>
  <w:num w:numId="8">
    <w:abstractNumId w:val="30"/>
  </w:num>
  <w:num w:numId="9">
    <w:abstractNumId w:val="10"/>
  </w:num>
  <w:num w:numId="10">
    <w:abstractNumId w:val="20"/>
  </w:num>
  <w:num w:numId="11">
    <w:abstractNumId w:val="27"/>
  </w:num>
  <w:num w:numId="12">
    <w:abstractNumId w:val="23"/>
  </w:num>
  <w:num w:numId="13">
    <w:abstractNumId w:val="4"/>
  </w:num>
  <w:num w:numId="14">
    <w:abstractNumId w:val="18"/>
  </w:num>
  <w:num w:numId="15">
    <w:abstractNumId w:val="1"/>
  </w:num>
  <w:num w:numId="16">
    <w:abstractNumId w:val="45"/>
  </w:num>
  <w:num w:numId="17">
    <w:abstractNumId w:val="29"/>
  </w:num>
  <w:num w:numId="18">
    <w:abstractNumId w:val="32"/>
  </w:num>
  <w:num w:numId="19">
    <w:abstractNumId w:val="43"/>
  </w:num>
  <w:num w:numId="20">
    <w:abstractNumId w:val="14"/>
  </w:num>
  <w:num w:numId="21">
    <w:abstractNumId w:val="48"/>
  </w:num>
  <w:num w:numId="22">
    <w:abstractNumId w:val="41"/>
  </w:num>
  <w:num w:numId="23">
    <w:abstractNumId w:val="16"/>
  </w:num>
  <w:num w:numId="24">
    <w:abstractNumId w:val="44"/>
  </w:num>
  <w:num w:numId="25">
    <w:abstractNumId w:val="35"/>
  </w:num>
  <w:num w:numId="26">
    <w:abstractNumId w:val="3"/>
  </w:num>
  <w:num w:numId="27">
    <w:abstractNumId w:val="5"/>
  </w:num>
  <w:num w:numId="28">
    <w:abstractNumId w:val="38"/>
  </w:num>
  <w:num w:numId="29">
    <w:abstractNumId w:val="46"/>
  </w:num>
  <w:num w:numId="30">
    <w:abstractNumId w:val="12"/>
  </w:num>
  <w:num w:numId="31">
    <w:abstractNumId w:val="0"/>
  </w:num>
  <w:num w:numId="32">
    <w:abstractNumId w:val="26"/>
  </w:num>
  <w:num w:numId="33">
    <w:abstractNumId w:val="40"/>
  </w:num>
  <w:num w:numId="34">
    <w:abstractNumId w:val="28"/>
  </w:num>
  <w:num w:numId="35">
    <w:abstractNumId w:val="34"/>
  </w:num>
  <w:num w:numId="36">
    <w:abstractNumId w:val="15"/>
  </w:num>
  <w:num w:numId="37">
    <w:abstractNumId w:val="13"/>
  </w:num>
  <w:num w:numId="38">
    <w:abstractNumId w:val="17"/>
  </w:num>
  <w:num w:numId="39">
    <w:abstractNumId w:val="19"/>
  </w:num>
  <w:num w:numId="40">
    <w:abstractNumId w:val="9"/>
  </w:num>
  <w:num w:numId="41">
    <w:abstractNumId w:val="39"/>
  </w:num>
  <w:num w:numId="42">
    <w:abstractNumId w:val="21"/>
  </w:num>
  <w:num w:numId="43">
    <w:abstractNumId w:val="33"/>
  </w:num>
  <w:num w:numId="44">
    <w:abstractNumId w:val="31"/>
  </w:num>
  <w:num w:numId="45">
    <w:abstractNumId w:val="36"/>
  </w:num>
  <w:num w:numId="46">
    <w:abstractNumId w:val="37"/>
  </w:num>
  <w:num w:numId="47">
    <w:abstractNumId w:val="11"/>
  </w:num>
  <w:num w:numId="48">
    <w:abstractNumId w:val="22"/>
  </w:num>
  <w:num w:numId="49">
    <w:abstractNumId w:val="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425"/>
  <w:characterSpacingControl w:val="doNotCompress"/>
  <w:footnotePr>
    <w:footnote w:id="0"/>
    <w:footnote w:id="1"/>
  </w:footnotePr>
  <w:endnotePr>
    <w:endnote w:id="0"/>
    <w:endnote w:id="1"/>
  </w:endnotePr>
  <w:compat/>
  <w:rsids>
    <w:rsidRoot w:val="0020499E"/>
    <w:rsid w:val="0020499E"/>
    <w:rsid w:val="0044772B"/>
    <w:rsid w:val="008E27E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499E"/>
    <w:pPr>
      <w:autoSpaceDE w:val="0"/>
      <w:autoSpaceDN w:val="0"/>
      <w:adjustRightInd w:val="0"/>
      <w:jc w:val="both"/>
    </w:pPr>
    <w:rPr>
      <w:rFonts w:ascii="Verdana" w:hAnsi="Verdana" w:cs="Scala"/>
    </w:rPr>
  </w:style>
  <w:style w:type="paragraph" w:styleId="Heading1">
    <w:name w:val="heading 1"/>
    <w:basedOn w:val="Normal"/>
    <w:next w:val="Normal"/>
    <w:link w:val="Heading1Char"/>
    <w:uiPriority w:val="9"/>
    <w:qFormat/>
    <w:rsid w:val="0020499E"/>
    <w:pPr>
      <w:numPr>
        <w:numId w:val="3"/>
      </w:numPr>
      <w:outlineLvl w:val="0"/>
    </w:pPr>
    <w:rPr>
      <w:b/>
      <w:sz w:val="32"/>
      <w:szCs w:val="32"/>
    </w:rPr>
  </w:style>
  <w:style w:type="paragraph" w:styleId="Heading2">
    <w:name w:val="heading 2"/>
    <w:basedOn w:val="Normal"/>
    <w:next w:val="Normal"/>
    <w:link w:val="Heading2Char"/>
    <w:uiPriority w:val="9"/>
    <w:unhideWhenUsed/>
    <w:qFormat/>
    <w:rsid w:val="0020499E"/>
    <w:pPr>
      <w:outlineLvl w:val="1"/>
    </w:pPr>
    <w:rPr>
      <w:b/>
      <w:sz w:val="28"/>
      <w:szCs w:val="28"/>
    </w:rPr>
  </w:style>
  <w:style w:type="paragraph" w:styleId="Heading3">
    <w:name w:val="heading 3"/>
    <w:basedOn w:val="Normal"/>
    <w:next w:val="Normal"/>
    <w:link w:val="Heading3Char"/>
    <w:uiPriority w:val="9"/>
    <w:unhideWhenUsed/>
    <w:qFormat/>
    <w:rsid w:val="0020499E"/>
    <w:pPr>
      <w:outlineLvl w:val="2"/>
    </w:pPr>
    <w:rPr>
      <w:b/>
      <w:sz w:val="24"/>
      <w:szCs w:val="24"/>
    </w:rPr>
  </w:style>
  <w:style w:type="paragraph" w:styleId="Heading4">
    <w:name w:val="heading 4"/>
    <w:basedOn w:val="Normal"/>
    <w:next w:val="Normal"/>
    <w:link w:val="Heading4Char"/>
    <w:uiPriority w:val="9"/>
    <w:unhideWhenUsed/>
    <w:qFormat/>
    <w:rsid w:val="0020499E"/>
    <w:pPr>
      <w:keepNext/>
      <w:keepLines/>
      <w:spacing w:before="20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0499E"/>
    <w:pPr>
      <w:widowControl w:val="0"/>
      <w:ind w:left="720"/>
      <w:contextualSpacing/>
    </w:pPr>
    <w:rPr>
      <w:rFonts w:ascii="Times New Roman" w:eastAsia="Times New Roman" w:hAnsi="Times New Roman"/>
      <w:snapToGrid w:val="0"/>
      <w:sz w:val="24"/>
      <w:szCs w:val="24"/>
      <w:lang w:bidi="he-IL"/>
    </w:rPr>
  </w:style>
  <w:style w:type="character" w:customStyle="1" w:styleId="ListParagraphChar">
    <w:name w:val="List Paragraph Char"/>
    <w:link w:val="ListParagraph"/>
    <w:uiPriority w:val="34"/>
    <w:rsid w:val="0020499E"/>
    <w:rPr>
      <w:rFonts w:ascii="Times New Roman" w:eastAsia="Times New Roman" w:hAnsi="Times New Roman"/>
      <w:snapToGrid w:val="0"/>
      <w:sz w:val="24"/>
      <w:szCs w:val="24"/>
      <w:lang w:bidi="he-IL"/>
    </w:rPr>
  </w:style>
  <w:style w:type="character" w:customStyle="1" w:styleId="Heading2Char">
    <w:name w:val="Heading 2 Char"/>
    <w:basedOn w:val="DefaultParagraphFont"/>
    <w:link w:val="Heading2"/>
    <w:uiPriority w:val="9"/>
    <w:rsid w:val="0020499E"/>
    <w:rPr>
      <w:rFonts w:ascii="Verdana" w:hAnsi="Verdana" w:cs="Scala"/>
      <w:b/>
      <w:sz w:val="28"/>
      <w:szCs w:val="28"/>
    </w:rPr>
  </w:style>
  <w:style w:type="character" w:customStyle="1" w:styleId="Heading1Char">
    <w:name w:val="Heading 1 Char"/>
    <w:basedOn w:val="DefaultParagraphFont"/>
    <w:link w:val="Heading1"/>
    <w:uiPriority w:val="9"/>
    <w:rsid w:val="0020499E"/>
    <w:rPr>
      <w:rFonts w:ascii="Verdana" w:hAnsi="Verdana" w:cs="Scala"/>
      <w:b/>
      <w:sz w:val="32"/>
      <w:szCs w:val="32"/>
    </w:rPr>
  </w:style>
  <w:style w:type="paragraph" w:styleId="BalloonText">
    <w:name w:val="Balloon Text"/>
    <w:basedOn w:val="Normal"/>
    <w:link w:val="BalloonTextChar"/>
    <w:uiPriority w:val="99"/>
    <w:semiHidden/>
    <w:unhideWhenUsed/>
    <w:rsid w:val="0020499E"/>
    <w:rPr>
      <w:rFonts w:ascii="Tahoma" w:hAnsi="Tahoma" w:cs="Tahoma"/>
      <w:sz w:val="16"/>
      <w:szCs w:val="16"/>
    </w:rPr>
  </w:style>
  <w:style w:type="character" w:customStyle="1" w:styleId="BalloonTextChar">
    <w:name w:val="Balloon Text Char"/>
    <w:basedOn w:val="DefaultParagraphFont"/>
    <w:link w:val="BalloonText"/>
    <w:uiPriority w:val="99"/>
    <w:semiHidden/>
    <w:rsid w:val="0020499E"/>
    <w:rPr>
      <w:rFonts w:ascii="Tahoma" w:hAnsi="Tahoma" w:cs="Tahoma"/>
      <w:sz w:val="16"/>
      <w:szCs w:val="16"/>
    </w:rPr>
  </w:style>
  <w:style w:type="table" w:styleId="LightShading-Accent1">
    <w:name w:val="Light Shading Accent 1"/>
    <w:basedOn w:val="TableNormal"/>
    <w:uiPriority w:val="60"/>
    <w:rsid w:val="0020499E"/>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styleId="NormalWeb">
    <w:name w:val="Normal (Web)"/>
    <w:basedOn w:val="Normal"/>
    <w:uiPriority w:val="99"/>
    <w:unhideWhenUsed/>
    <w:rsid w:val="0020499E"/>
    <w:pPr>
      <w:spacing w:before="100" w:beforeAutospacing="1" w:after="100" w:afterAutospacing="1"/>
    </w:pPr>
    <w:rPr>
      <w:rFonts w:ascii="Times New Roman" w:eastAsiaTheme="minorEastAsia" w:hAnsi="Times New Roman"/>
      <w:sz w:val="24"/>
      <w:szCs w:val="24"/>
    </w:rPr>
  </w:style>
  <w:style w:type="paragraph" w:styleId="TOCHeading">
    <w:name w:val="TOC Heading"/>
    <w:basedOn w:val="Heading1"/>
    <w:next w:val="Normal"/>
    <w:uiPriority w:val="39"/>
    <w:unhideWhenUsed/>
    <w:qFormat/>
    <w:rsid w:val="0020499E"/>
    <w:pPr>
      <w:keepNext/>
      <w:keepLines/>
      <w:autoSpaceDE/>
      <w:autoSpaceDN/>
      <w:adjustRightInd/>
      <w:spacing w:before="480" w:line="276" w:lineRule="auto"/>
      <w:jc w:val="left"/>
      <w:outlineLvl w:val="9"/>
    </w:pPr>
    <w:rPr>
      <w:rFonts w:asciiTheme="majorHAnsi" w:eastAsiaTheme="majorEastAsia" w:hAnsiTheme="majorHAnsi" w:cstheme="majorBidi"/>
      <w:bCs/>
      <w:color w:val="2E74B5" w:themeColor="accent1" w:themeShade="BF"/>
      <w:lang w:eastAsia="ja-JP"/>
    </w:rPr>
  </w:style>
  <w:style w:type="paragraph" w:styleId="TOC1">
    <w:name w:val="toc 1"/>
    <w:basedOn w:val="Normal"/>
    <w:next w:val="Normal"/>
    <w:autoRedefine/>
    <w:uiPriority w:val="39"/>
    <w:unhideWhenUsed/>
    <w:rsid w:val="0020499E"/>
    <w:pPr>
      <w:spacing w:after="100"/>
    </w:pPr>
  </w:style>
  <w:style w:type="paragraph" w:styleId="TOC2">
    <w:name w:val="toc 2"/>
    <w:basedOn w:val="Normal"/>
    <w:next w:val="Normal"/>
    <w:autoRedefine/>
    <w:uiPriority w:val="39"/>
    <w:unhideWhenUsed/>
    <w:rsid w:val="0020499E"/>
    <w:pPr>
      <w:spacing w:after="100"/>
      <w:ind w:left="220"/>
    </w:pPr>
  </w:style>
  <w:style w:type="character" w:styleId="Hyperlink">
    <w:name w:val="Hyperlink"/>
    <w:basedOn w:val="DefaultParagraphFont"/>
    <w:uiPriority w:val="99"/>
    <w:unhideWhenUsed/>
    <w:rsid w:val="0020499E"/>
    <w:rPr>
      <w:color w:val="0563C1" w:themeColor="hyperlink"/>
      <w:u w:val="single"/>
    </w:rPr>
  </w:style>
  <w:style w:type="character" w:customStyle="1" w:styleId="Heading3Char">
    <w:name w:val="Heading 3 Char"/>
    <w:basedOn w:val="DefaultParagraphFont"/>
    <w:link w:val="Heading3"/>
    <w:uiPriority w:val="9"/>
    <w:rsid w:val="0020499E"/>
    <w:rPr>
      <w:rFonts w:ascii="Verdana" w:hAnsi="Verdana" w:cs="Scala"/>
      <w:b/>
      <w:sz w:val="24"/>
      <w:szCs w:val="24"/>
    </w:rPr>
  </w:style>
  <w:style w:type="paragraph" w:styleId="TOC3">
    <w:name w:val="toc 3"/>
    <w:basedOn w:val="Normal"/>
    <w:next w:val="Normal"/>
    <w:autoRedefine/>
    <w:uiPriority w:val="39"/>
    <w:unhideWhenUsed/>
    <w:rsid w:val="0020499E"/>
    <w:pPr>
      <w:spacing w:after="100"/>
      <w:ind w:left="440"/>
    </w:pPr>
  </w:style>
  <w:style w:type="paragraph" w:styleId="Header">
    <w:name w:val="header"/>
    <w:basedOn w:val="Normal"/>
    <w:link w:val="HeaderChar"/>
    <w:uiPriority w:val="99"/>
    <w:unhideWhenUsed/>
    <w:rsid w:val="0020499E"/>
    <w:pPr>
      <w:tabs>
        <w:tab w:val="center" w:pos="4680"/>
        <w:tab w:val="right" w:pos="9360"/>
      </w:tabs>
    </w:pPr>
  </w:style>
  <w:style w:type="character" w:customStyle="1" w:styleId="HeaderChar">
    <w:name w:val="Header Char"/>
    <w:basedOn w:val="DefaultParagraphFont"/>
    <w:link w:val="Header"/>
    <w:uiPriority w:val="99"/>
    <w:rsid w:val="0020499E"/>
    <w:rPr>
      <w:sz w:val="22"/>
      <w:szCs w:val="22"/>
    </w:rPr>
  </w:style>
  <w:style w:type="paragraph" w:styleId="Footer">
    <w:name w:val="footer"/>
    <w:basedOn w:val="Normal"/>
    <w:link w:val="FooterChar"/>
    <w:uiPriority w:val="99"/>
    <w:unhideWhenUsed/>
    <w:rsid w:val="0020499E"/>
    <w:pPr>
      <w:tabs>
        <w:tab w:val="center" w:pos="4680"/>
        <w:tab w:val="right" w:pos="9360"/>
      </w:tabs>
    </w:pPr>
  </w:style>
  <w:style w:type="character" w:customStyle="1" w:styleId="FooterChar">
    <w:name w:val="Footer Char"/>
    <w:basedOn w:val="DefaultParagraphFont"/>
    <w:link w:val="Footer"/>
    <w:uiPriority w:val="99"/>
    <w:rsid w:val="0020499E"/>
    <w:rPr>
      <w:sz w:val="22"/>
      <w:szCs w:val="22"/>
    </w:rPr>
  </w:style>
  <w:style w:type="table" w:styleId="MediumShading1-Accent1">
    <w:name w:val="Medium Shading 1 Accent 1"/>
    <w:basedOn w:val="TableNormal"/>
    <w:uiPriority w:val="63"/>
    <w:rsid w:val="0020499E"/>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LightList-Accent1">
    <w:name w:val="Light List Accent 1"/>
    <w:basedOn w:val="TableNormal"/>
    <w:uiPriority w:val="61"/>
    <w:rsid w:val="0020499E"/>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FootnoteText">
    <w:name w:val="footnote text"/>
    <w:basedOn w:val="Normal"/>
    <w:link w:val="FootnoteTextChar"/>
    <w:uiPriority w:val="99"/>
    <w:unhideWhenUsed/>
    <w:rsid w:val="0020499E"/>
    <w:pPr>
      <w:autoSpaceDE/>
      <w:autoSpaceDN/>
      <w:adjustRightInd/>
      <w:jc w:val="left"/>
    </w:pPr>
    <w:rPr>
      <w:rFonts w:asciiTheme="minorHAnsi" w:eastAsiaTheme="minorHAnsi" w:hAnsiTheme="minorHAnsi" w:cstheme="minorBidi"/>
      <w:lang w:val="fr-FR"/>
    </w:rPr>
  </w:style>
  <w:style w:type="character" w:customStyle="1" w:styleId="FootnoteTextChar">
    <w:name w:val="Footnote Text Char"/>
    <w:basedOn w:val="DefaultParagraphFont"/>
    <w:link w:val="FootnoteText"/>
    <w:uiPriority w:val="99"/>
    <w:rsid w:val="0020499E"/>
    <w:rPr>
      <w:rFonts w:asciiTheme="minorHAnsi" w:eastAsiaTheme="minorHAnsi" w:hAnsiTheme="minorHAnsi" w:cstheme="minorBidi"/>
      <w:lang w:val="fr-FR"/>
    </w:rPr>
  </w:style>
  <w:style w:type="character" w:styleId="FootnoteReference">
    <w:name w:val="footnote reference"/>
    <w:basedOn w:val="DefaultParagraphFont"/>
    <w:unhideWhenUsed/>
    <w:rsid w:val="0020499E"/>
    <w:rPr>
      <w:vertAlign w:val="superscript"/>
    </w:rPr>
  </w:style>
  <w:style w:type="table" w:styleId="TableGrid">
    <w:name w:val="Table Grid"/>
    <w:basedOn w:val="TableNormal"/>
    <w:uiPriority w:val="59"/>
    <w:rsid w:val="0020499E"/>
    <w:rPr>
      <w:rFonts w:asciiTheme="minorHAnsi" w:eastAsiaTheme="minorHAnsi" w:hAnsiTheme="minorHAnsi" w:cstheme="minorBid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rsid w:val="0020499E"/>
    <w:rPr>
      <w:rFonts w:asciiTheme="majorHAnsi" w:eastAsiaTheme="majorEastAsia" w:hAnsiTheme="majorHAnsi" w:cstheme="majorBidi"/>
      <w:b/>
      <w:bCs/>
      <w:i/>
      <w:iCs/>
      <w:color w:val="5B9BD5" w:themeColor="accent1"/>
    </w:rPr>
  </w:style>
  <w:style w:type="paragraph" w:customStyle="1" w:styleId="Default">
    <w:name w:val="Default"/>
    <w:rsid w:val="0020499E"/>
    <w:pPr>
      <w:autoSpaceDE w:val="0"/>
      <w:autoSpaceDN w:val="0"/>
      <w:adjustRightInd w:val="0"/>
    </w:pPr>
    <w:rPr>
      <w:rFonts w:ascii="Sylfaen" w:hAnsi="Sylfaen" w:cs="Sylfaen"/>
      <w:color w:val="000000"/>
      <w:sz w:val="24"/>
      <w:szCs w:val="24"/>
      <w:lang w:val="fr-FR"/>
    </w:rPr>
  </w:style>
  <w:style w:type="paragraph" w:styleId="HTMLPreformatted">
    <w:name w:val="HTML Preformatted"/>
    <w:basedOn w:val="Normal"/>
    <w:link w:val="HTMLPreformattedChar"/>
    <w:uiPriority w:val="99"/>
    <w:unhideWhenUsed/>
    <w:rsid w:val="0020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left"/>
    </w:pPr>
    <w:rPr>
      <w:rFonts w:ascii="Courier New" w:eastAsia="Times New Roman" w:hAnsi="Courier New" w:cs="Courier New"/>
      <w:lang w:val="fr-FR" w:eastAsia="fr-FR"/>
    </w:rPr>
  </w:style>
  <w:style w:type="character" w:customStyle="1" w:styleId="HTMLPreformattedChar">
    <w:name w:val="HTML Preformatted Char"/>
    <w:basedOn w:val="DefaultParagraphFont"/>
    <w:link w:val="HTMLPreformatted"/>
    <w:uiPriority w:val="99"/>
    <w:rsid w:val="0020499E"/>
    <w:rPr>
      <w:rFonts w:ascii="Courier New" w:eastAsia="Times New Roman" w:hAnsi="Courier New" w:cs="Courier New"/>
      <w:lang w:val="fr-FR" w:eastAsia="fr-FR"/>
    </w:rPr>
  </w:style>
  <w:style w:type="character" w:styleId="Strong">
    <w:name w:val="Strong"/>
    <w:basedOn w:val="DefaultParagraphFont"/>
    <w:uiPriority w:val="22"/>
    <w:qFormat/>
    <w:rsid w:val="0020499E"/>
    <w:rPr>
      <w:b/>
      <w:bCs/>
    </w:rPr>
  </w:style>
  <w:style w:type="paragraph" w:customStyle="1" w:styleId="authors">
    <w:name w:val="authors"/>
    <w:basedOn w:val="Normal"/>
    <w:rsid w:val="0020499E"/>
    <w:pPr>
      <w:autoSpaceDE/>
      <w:autoSpaceDN/>
      <w:adjustRightInd/>
      <w:spacing w:before="100" w:beforeAutospacing="1" w:after="100" w:afterAutospacing="1"/>
      <w:jc w:val="left"/>
    </w:pPr>
    <w:rPr>
      <w:rFonts w:ascii="Times New Roman" w:eastAsia="Times New Roman" w:hAnsi="Times New Roman" w:cs="Times New Roman"/>
      <w:sz w:val="24"/>
      <w:szCs w:val="24"/>
      <w:lang w:val="fr-FR" w:eastAsia="fr-FR"/>
    </w:rPr>
  </w:style>
  <w:style w:type="paragraph" w:styleId="NoSpacing">
    <w:name w:val="No Spacing"/>
    <w:uiPriority w:val="1"/>
    <w:qFormat/>
    <w:rsid w:val="0020499E"/>
    <w:pPr>
      <w:autoSpaceDE w:val="0"/>
      <w:autoSpaceDN w:val="0"/>
      <w:adjustRightInd w:val="0"/>
      <w:jc w:val="both"/>
    </w:pPr>
    <w:rPr>
      <w:rFonts w:ascii="Verdana" w:hAnsi="Verdana" w:cs="Scala"/>
    </w:rPr>
  </w:style>
  <w:style w:type="character" w:styleId="CommentReference">
    <w:name w:val="annotation reference"/>
    <w:basedOn w:val="DefaultParagraphFont"/>
    <w:uiPriority w:val="99"/>
    <w:semiHidden/>
    <w:unhideWhenUsed/>
    <w:rsid w:val="0020499E"/>
    <w:rPr>
      <w:sz w:val="16"/>
      <w:szCs w:val="16"/>
    </w:rPr>
  </w:style>
  <w:style w:type="paragraph" w:styleId="CommentText">
    <w:name w:val="annotation text"/>
    <w:basedOn w:val="Normal"/>
    <w:link w:val="CommentTextChar"/>
    <w:uiPriority w:val="99"/>
    <w:semiHidden/>
    <w:unhideWhenUsed/>
    <w:rsid w:val="0020499E"/>
  </w:style>
  <w:style w:type="character" w:customStyle="1" w:styleId="CommentTextChar">
    <w:name w:val="Comment Text Char"/>
    <w:basedOn w:val="DefaultParagraphFont"/>
    <w:link w:val="CommentText"/>
    <w:uiPriority w:val="99"/>
    <w:semiHidden/>
    <w:rsid w:val="0020499E"/>
    <w:rPr>
      <w:rFonts w:ascii="Verdana" w:hAnsi="Verdana" w:cs="Scala"/>
    </w:rPr>
  </w:style>
  <w:style w:type="paragraph" w:styleId="CommentSubject">
    <w:name w:val="annotation subject"/>
    <w:basedOn w:val="CommentText"/>
    <w:next w:val="CommentText"/>
    <w:link w:val="CommentSubjectChar"/>
    <w:uiPriority w:val="99"/>
    <w:semiHidden/>
    <w:unhideWhenUsed/>
    <w:rsid w:val="0020499E"/>
    <w:rPr>
      <w:b/>
      <w:bCs/>
    </w:rPr>
  </w:style>
  <w:style w:type="character" w:customStyle="1" w:styleId="CommentSubjectChar">
    <w:name w:val="Comment Subject Char"/>
    <w:basedOn w:val="CommentTextChar"/>
    <w:link w:val="CommentSubject"/>
    <w:uiPriority w:val="99"/>
    <w:semiHidden/>
    <w:rsid w:val="0020499E"/>
    <w:rPr>
      <w:rFonts w:ascii="Verdana" w:hAnsi="Verdana" w:cs="Scala"/>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adjustRightInd w:val="0"/>
      <w:jc w:val="both"/>
    </w:pPr>
    <w:rPr>
      <w:rFonts w:ascii="Verdana" w:hAnsi="Verdana" w:cs="Scala"/>
    </w:rPr>
  </w:style>
  <w:style w:type="paragraph" w:styleId="Heading1">
    <w:name w:val="heading 1"/>
    <w:basedOn w:val="Normal"/>
    <w:next w:val="Normal"/>
    <w:link w:val="Heading1Char"/>
    <w:uiPriority w:val="9"/>
    <w:qFormat/>
    <w:pPr>
      <w:numPr>
        <w:numId w:val="3"/>
      </w:numPr>
      <w:outlineLvl w:val="0"/>
    </w:pPr>
    <w:rPr>
      <w:b/>
      <w:sz w:val="32"/>
      <w:szCs w:val="32"/>
    </w:rPr>
  </w:style>
  <w:style w:type="paragraph" w:styleId="Heading2">
    <w:name w:val="heading 2"/>
    <w:basedOn w:val="Normal"/>
    <w:next w:val="Normal"/>
    <w:link w:val="Heading2Char"/>
    <w:uiPriority w:val="9"/>
    <w:unhideWhenUsed/>
    <w:qFormat/>
    <w:pPr>
      <w:outlineLvl w:val="1"/>
    </w:pPr>
    <w:rPr>
      <w:b/>
      <w:sz w:val="28"/>
      <w:szCs w:val="28"/>
    </w:rPr>
  </w:style>
  <w:style w:type="paragraph" w:styleId="Heading3">
    <w:name w:val="heading 3"/>
    <w:basedOn w:val="Normal"/>
    <w:next w:val="Normal"/>
    <w:link w:val="Heading3Char"/>
    <w:uiPriority w:val="9"/>
    <w:unhideWhenUsed/>
    <w:qFormat/>
    <w:pPr>
      <w:outlineLvl w:val="2"/>
    </w:pPr>
    <w:rPr>
      <w:b/>
      <w:sz w:val="24"/>
      <w:szCs w:val="24"/>
    </w:rPr>
  </w:style>
  <w:style w:type="paragraph" w:styleId="Heading4">
    <w:name w:val="heading 4"/>
    <w:basedOn w:val="Normal"/>
    <w:next w:val="Normal"/>
    <w:link w:val="Heading4Char"/>
    <w:uiPriority w:val="9"/>
    <w:unhideWhenUsed/>
    <w:qFormat/>
    <w:pPr>
      <w:keepNext/>
      <w:keepLines/>
      <w:spacing w:before="20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pPr>
      <w:widowControl w:val="0"/>
      <w:ind w:left="720"/>
      <w:contextualSpacing/>
    </w:pPr>
    <w:rPr>
      <w:rFonts w:ascii="Times New Roman" w:eastAsia="Times New Roman" w:hAnsi="Times New Roman"/>
      <w:snapToGrid w:val="0"/>
      <w:sz w:val="24"/>
      <w:szCs w:val="24"/>
      <w:lang w:bidi="he-IL"/>
    </w:rPr>
  </w:style>
  <w:style w:type="character" w:customStyle="1" w:styleId="ListParagraphChar">
    <w:name w:val="List Paragraph Char"/>
    <w:link w:val="ListParagraph"/>
    <w:uiPriority w:val="34"/>
    <w:rPr>
      <w:rFonts w:ascii="Times New Roman" w:eastAsia="Times New Roman" w:hAnsi="Times New Roman"/>
      <w:snapToGrid w:val="0"/>
      <w:sz w:val="24"/>
      <w:szCs w:val="24"/>
      <w:lang w:bidi="he-IL"/>
    </w:rPr>
  </w:style>
  <w:style w:type="character" w:customStyle="1" w:styleId="Heading2Char">
    <w:name w:val="Heading 2 Char"/>
    <w:basedOn w:val="DefaultParagraphFont"/>
    <w:link w:val="Heading2"/>
    <w:uiPriority w:val="9"/>
    <w:rPr>
      <w:rFonts w:ascii="Verdana" w:hAnsi="Verdana" w:cs="Scala"/>
      <w:b/>
      <w:sz w:val="28"/>
      <w:szCs w:val="28"/>
    </w:rPr>
  </w:style>
  <w:style w:type="character" w:customStyle="1" w:styleId="Heading1Char">
    <w:name w:val="Heading 1 Char"/>
    <w:basedOn w:val="DefaultParagraphFont"/>
    <w:link w:val="Heading1"/>
    <w:uiPriority w:val="9"/>
    <w:rPr>
      <w:rFonts w:ascii="Verdana" w:hAnsi="Verdana" w:cs="Scala"/>
      <w:b/>
      <w:sz w:val="32"/>
      <w:szCs w:val="32"/>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LightShading-Accent1">
    <w:name w:val="Light Shading Accent 1"/>
    <w:basedOn w:val="TableNormal"/>
    <w:uiPriority w:val="60"/>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styleId="NormalWeb">
    <w:name w:val="Normal (Web)"/>
    <w:basedOn w:val="Normal"/>
    <w:uiPriority w:val="99"/>
    <w:unhideWhenUsed/>
    <w:pPr>
      <w:spacing w:before="100" w:beforeAutospacing="1" w:after="100" w:afterAutospacing="1"/>
    </w:pPr>
    <w:rPr>
      <w:rFonts w:ascii="Times New Roman" w:eastAsiaTheme="minorEastAsia" w:hAnsi="Times New Roman"/>
      <w:sz w:val="24"/>
      <w:szCs w:val="24"/>
    </w:rPr>
  </w:style>
  <w:style w:type="paragraph" w:styleId="TOCHeading">
    <w:name w:val="TOC Heading"/>
    <w:basedOn w:val="Heading1"/>
    <w:next w:val="Normal"/>
    <w:uiPriority w:val="39"/>
    <w:unhideWhenUsed/>
    <w:qFormat/>
    <w:pPr>
      <w:keepNext/>
      <w:keepLines/>
      <w:autoSpaceDE/>
      <w:autoSpaceDN/>
      <w:adjustRightInd/>
      <w:spacing w:before="480" w:line="276" w:lineRule="auto"/>
      <w:jc w:val="left"/>
      <w:outlineLvl w:val="9"/>
    </w:pPr>
    <w:rPr>
      <w:rFonts w:asciiTheme="majorHAnsi" w:eastAsiaTheme="majorEastAsia" w:hAnsiTheme="majorHAnsi" w:cstheme="majorBidi"/>
      <w:bCs/>
      <w:color w:val="2E74B5" w:themeColor="accent1" w:themeShade="BF"/>
      <w:lang w:eastAsia="ja-JP"/>
    </w:rPr>
  </w:style>
  <w:style w:type="paragraph" w:styleId="TOC1">
    <w:name w:val="toc 1"/>
    <w:basedOn w:val="Normal"/>
    <w:next w:val="Normal"/>
    <w:autoRedefine/>
    <w:uiPriority w:val="39"/>
    <w:unhideWhenUsed/>
    <w:pPr>
      <w:spacing w:after="100"/>
    </w:pPr>
  </w:style>
  <w:style w:type="paragraph" w:styleId="TOC2">
    <w:name w:val="toc 2"/>
    <w:basedOn w:val="Normal"/>
    <w:next w:val="Normal"/>
    <w:autoRedefine/>
    <w:uiPriority w:val="39"/>
    <w:unhideWhenUsed/>
    <w:pPr>
      <w:spacing w:after="100"/>
      <w:ind w:left="220"/>
    </w:pPr>
  </w:style>
  <w:style w:type="character" w:styleId="Hyperlink">
    <w:name w:val="Hyperlink"/>
    <w:basedOn w:val="DefaultParagraphFont"/>
    <w:uiPriority w:val="99"/>
    <w:unhideWhenUsed/>
    <w:rPr>
      <w:color w:val="0563C1" w:themeColor="hyperlink"/>
      <w:u w:val="single"/>
    </w:rPr>
  </w:style>
  <w:style w:type="character" w:customStyle="1" w:styleId="Heading3Char">
    <w:name w:val="Heading 3 Char"/>
    <w:basedOn w:val="DefaultParagraphFont"/>
    <w:link w:val="Heading3"/>
    <w:uiPriority w:val="9"/>
    <w:rPr>
      <w:rFonts w:ascii="Verdana" w:hAnsi="Verdana" w:cs="Scala"/>
      <w:b/>
      <w:sz w:val="24"/>
      <w:szCs w:val="24"/>
    </w:rPr>
  </w:style>
  <w:style w:type="paragraph" w:styleId="TOC3">
    <w:name w:val="toc 3"/>
    <w:basedOn w:val="Normal"/>
    <w:next w:val="Normal"/>
    <w:autoRedefine/>
    <w:uiPriority w:val="39"/>
    <w:unhideWhenUsed/>
    <w:pPr>
      <w:spacing w:after="100"/>
      <w:ind w:left="440"/>
    </w:p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sz w:val="22"/>
      <w:szCs w:val="22"/>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sz w:val="22"/>
      <w:szCs w:val="22"/>
    </w:rPr>
  </w:style>
  <w:style w:type="table" w:styleId="MediumShading1-Accent1">
    <w:name w:val="Medium Shading 1 Accent 1"/>
    <w:basedOn w:val="TableNormal"/>
    <w:uiPriority w:val="63"/>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LightList-Accent1">
    <w:name w:val="Light List Accent 1"/>
    <w:basedOn w:val="TableNormal"/>
    <w:uiPriority w:val="61"/>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FootnoteText">
    <w:name w:val="footnote text"/>
    <w:basedOn w:val="Normal"/>
    <w:link w:val="FootnoteTextChar"/>
    <w:uiPriority w:val="99"/>
    <w:unhideWhenUsed/>
    <w:pPr>
      <w:autoSpaceDE/>
      <w:autoSpaceDN/>
      <w:adjustRightInd/>
      <w:jc w:val="left"/>
    </w:pPr>
    <w:rPr>
      <w:rFonts w:asciiTheme="minorHAnsi" w:eastAsiaTheme="minorHAnsi" w:hAnsiTheme="minorHAnsi" w:cstheme="minorBidi"/>
      <w:lang w:val="fr-FR"/>
    </w:rPr>
  </w:style>
  <w:style w:type="character" w:customStyle="1" w:styleId="FootnoteTextChar">
    <w:name w:val="Footnote Text Char"/>
    <w:basedOn w:val="DefaultParagraphFont"/>
    <w:link w:val="FootnoteText"/>
    <w:uiPriority w:val="99"/>
    <w:rPr>
      <w:rFonts w:asciiTheme="minorHAnsi" w:eastAsiaTheme="minorHAnsi" w:hAnsiTheme="minorHAnsi" w:cstheme="minorBidi"/>
      <w:lang w:val="fr-FR"/>
    </w:rPr>
  </w:style>
  <w:style w:type="character" w:styleId="FootnoteReference">
    <w:name w:val="footnote reference"/>
    <w:basedOn w:val="DefaultParagraphFont"/>
    <w:unhideWhenUsed/>
    <w:rPr>
      <w:vertAlign w:val="superscript"/>
    </w:rPr>
  </w:style>
  <w:style w:type="table" w:styleId="TableGrid">
    <w:name w:val="Table Grid"/>
    <w:basedOn w:val="TableNormal"/>
    <w:uiPriority w:val="59"/>
    <w:rPr>
      <w:rFonts w:asciiTheme="minorHAnsi" w:eastAsiaTheme="minorHAnsi" w:hAnsiTheme="minorHAnsi" w:cstheme="minorBid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rPr>
      <w:rFonts w:asciiTheme="majorHAnsi" w:eastAsiaTheme="majorEastAsia" w:hAnsiTheme="majorHAnsi" w:cstheme="majorBidi"/>
      <w:b/>
      <w:bCs/>
      <w:i/>
      <w:iCs/>
      <w:color w:val="5B9BD5" w:themeColor="accent1"/>
    </w:rPr>
  </w:style>
  <w:style w:type="paragraph" w:customStyle="1" w:styleId="Default">
    <w:name w:val="Default"/>
    <w:pPr>
      <w:autoSpaceDE w:val="0"/>
      <w:autoSpaceDN w:val="0"/>
      <w:adjustRightInd w:val="0"/>
    </w:pPr>
    <w:rPr>
      <w:rFonts w:ascii="Sylfaen" w:hAnsi="Sylfaen" w:cs="Sylfaen"/>
      <w:color w:val="000000"/>
      <w:sz w:val="24"/>
      <w:szCs w:val="24"/>
      <w:lang w:val="fr-FR"/>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left"/>
    </w:pPr>
    <w:rPr>
      <w:rFonts w:ascii="Courier New" w:eastAsia="Times New Roman" w:hAnsi="Courier New" w:cs="Courier New"/>
      <w:lang w:val="fr-FR" w:eastAsia="fr-FR"/>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lang w:val="fr-FR" w:eastAsia="fr-FR"/>
    </w:rPr>
  </w:style>
  <w:style w:type="character" w:styleId="Strong">
    <w:name w:val="Strong"/>
    <w:basedOn w:val="DefaultParagraphFont"/>
    <w:uiPriority w:val="22"/>
    <w:qFormat/>
    <w:rPr>
      <w:b/>
      <w:bCs/>
    </w:rPr>
  </w:style>
  <w:style w:type="paragraph" w:customStyle="1" w:styleId="authors">
    <w:name w:val="authors"/>
    <w:basedOn w:val="Normal"/>
    <w:pPr>
      <w:autoSpaceDE/>
      <w:autoSpaceDN/>
      <w:adjustRightInd/>
      <w:spacing w:before="100" w:beforeAutospacing="1" w:after="100" w:afterAutospacing="1"/>
      <w:jc w:val="left"/>
    </w:pPr>
    <w:rPr>
      <w:rFonts w:ascii="Times New Roman" w:eastAsia="Times New Roman" w:hAnsi="Times New Roman" w:cs="Times New Roman"/>
      <w:sz w:val="24"/>
      <w:szCs w:val="24"/>
      <w:lang w:val="fr-FR" w:eastAsia="fr-FR"/>
    </w:rPr>
  </w:style>
  <w:style w:type="paragraph" w:styleId="NoSpacing">
    <w:name w:val="No Spacing"/>
    <w:uiPriority w:val="1"/>
    <w:qFormat/>
    <w:pPr>
      <w:autoSpaceDE w:val="0"/>
      <w:autoSpaceDN w:val="0"/>
      <w:adjustRightInd w:val="0"/>
      <w:jc w:val="both"/>
    </w:pPr>
    <w:rPr>
      <w:rFonts w:ascii="Verdana" w:hAnsi="Verdana" w:cs="Scala"/>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Verdana" w:hAnsi="Verdana" w:cs="Scala"/>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Verdana" w:hAnsi="Verdana" w:cs="Scala"/>
      <w:b/>
      <w:bCs/>
    </w:rPr>
  </w:style>
</w:styles>
</file>

<file path=word/webSettings.xml><?xml version="1.0" encoding="utf-8"?>
<w:webSettings xmlns:r="http://schemas.openxmlformats.org/officeDocument/2006/relationships" xmlns:w="http://schemas.openxmlformats.org/wordprocessingml/2006/main">
  <w:divs>
    <w:div w:id="6636670">
      <w:bodyDiv w:val="1"/>
      <w:marLeft w:val="0"/>
      <w:marRight w:val="0"/>
      <w:marTop w:val="0"/>
      <w:marBottom w:val="0"/>
      <w:divBdr>
        <w:top w:val="none" w:sz="0" w:space="0" w:color="auto"/>
        <w:left w:val="none" w:sz="0" w:space="0" w:color="auto"/>
        <w:bottom w:val="none" w:sz="0" w:space="0" w:color="auto"/>
        <w:right w:val="none" w:sz="0" w:space="0" w:color="auto"/>
      </w:divBdr>
    </w:div>
    <w:div w:id="36780681">
      <w:bodyDiv w:val="1"/>
      <w:marLeft w:val="0"/>
      <w:marRight w:val="0"/>
      <w:marTop w:val="0"/>
      <w:marBottom w:val="0"/>
      <w:divBdr>
        <w:top w:val="none" w:sz="0" w:space="0" w:color="auto"/>
        <w:left w:val="none" w:sz="0" w:space="0" w:color="auto"/>
        <w:bottom w:val="none" w:sz="0" w:space="0" w:color="auto"/>
        <w:right w:val="none" w:sz="0" w:space="0" w:color="auto"/>
      </w:divBdr>
    </w:div>
    <w:div w:id="37097498">
      <w:bodyDiv w:val="1"/>
      <w:marLeft w:val="0"/>
      <w:marRight w:val="0"/>
      <w:marTop w:val="0"/>
      <w:marBottom w:val="0"/>
      <w:divBdr>
        <w:top w:val="none" w:sz="0" w:space="0" w:color="auto"/>
        <w:left w:val="none" w:sz="0" w:space="0" w:color="auto"/>
        <w:bottom w:val="none" w:sz="0" w:space="0" w:color="auto"/>
        <w:right w:val="none" w:sz="0" w:space="0" w:color="auto"/>
      </w:divBdr>
    </w:div>
    <w:div w:id="97915393">
      <w:bodyDiv w:val="1"/>
      <w:marLeft w:val="0"/>
      <w:marRight w:val="0"/>
      <w:marTop w:val="0"/>
      <w:marBottom w:val="0"/>
      <w:divBdr>
        <w:top w:val="none" w:sz="0" w:space="0" w:color="auto"/>
        <w:left w:val="none" w:sz="0" w:space="0" w:color="auto"/>
        <w:bottom w:val="none" w:sz="0" w:space="0" w:color="auto"/>
        <w:right w:val="none" w:sz="0" w:space="0" w:color="auto"/>
      </w:divBdr>
    </w:div>
    <w:div w:id="240599980">
      <w:bodyDiv w:val="1"/>
      <w:marLeft w:val="0"/>
      <w:marRight w:val="0"/>
      <w:marTop w:val="0"/>
      <w:marBottom w:val="0"/>
      <w:divBdr>
        <w:top w:val="none" w:sz="0" w:space="0" w:color="auto"/>
        <w:left w:val="none" w:sz="0" w:space="0" w:color="auto"/>
        <w:bottom w:val="none" w:sz="0" w:space="0" w:color="auto"/>
        <w:right w:val="none" w:sz="0" w:space="0" w:color="auto"/>
      </w:divBdr>
    </w:div>
    <w:div w:id="262106044">
      <w:bodyDiv w:val="1"/>
      <w:marLeft w:val="0"/>
      <w:marRight w:val="0"/>
      <w:marTop w:val="0"/>
      <w:marBottom w:val="0"/>
      <w:divBdr>
        <w:top w:val="none" w:sz="0" w:space="0" w:color="auto"/>
        <w:left w:val="none" w:sz="0" w:space="0" w:color="auto"/>
        <w:bottom w:val="none" w:sz="0" w:space="0" w:color="auto"/>
        <w:right w:val="none" w:sz="0" w:space="0" w:color="auto"/>
      </w:divBdr>
      <w:divsChild>
        <w:div w:id="917714893">
          <w:marLeft w:val="0"/>
          <w:marRight w:val="0"/>
          <w:marTop w:val="0"/>
          <w:marBottom w:val="0"/>
          <w:divBdr>
            <w:top w:val="none" w:sz="0" w:space="0" w:color="auto"/>
            <w:left w:val="none" w:sz="0" w:space="0" w:color="auto"/>
            <w:bottom w:val="none" w:sz="0" w:space="0" w:color="auto"/>
            <w:right w:val="none" w:sz="0" w:space="0" w:color="auto"/>
          </w:divBdr>
        </w:div>
        <w:div w:id="1563366905">
          <w:marLeft w:val="0"/>
          <w:marRight w:val="0"/>
          <w:marTop w:val="0"/>
          <w:marBottom w:val="0"/>
          <w:divBdr>
            <w:top w:val="none" w:sz="0" w:space="0" w:color="auto"/>
            <w:left w:val="none" w:sz="0" w:space="0" w:color="auto"/>
            <w:bottom w:val="none" w:sz="0" w:space="0" w:color="auto"/>
            <w:right w:val="none" w:sz="0" w:space="0" w:color="auto"/>
          </w:divBdr>
        </w:div>
        <w:div w:id="2006320759">
          <w:marLeft w:val="0"/>
          <w:marRight w:val="0"/>
          <w:marTop w:val="0"/>
          <w:marBottom w:val="0"/>
          <w:divBdr>
            <w:top w:val="none" w:sz="0" w:space="0" w:color="auto"/>
            <w:left w:val="none" w:sz="0" w:space="0" w:color="auto"/>
            <w:bottom w:val="none" w:sz="0" w:space="0" w:color="auto"/>
            <w:right w:val="none" w:sz="0" w:space="0" w:color="auto"/>
          </w:divBdr>
        </w:div>
      </w:divsChild>
    </w:div>
    <w:div w:id="284239013">
      <w:bodyDiv w:val="1"/>
      <w:marLeft w:val="0"/>
      <w:marRight w:val="0"/>
      <w:marTop w:val="0"/>
      <w:marBottom w:val="0"/>
      <w:divBdr>
        <w:top w:val="none" w:sz="0" w:space="0" w:color="auto"/>
        <w:left w:val="none" w:sz="0" w:space="0" w:color="auto"/>
        <w:bottom w:val="none" w:sz="0" w:space="0" w:color="auto"/>
        <w:right w:val="none" w:sz="0" w:space="0" w:color="auto"/>
      </w:divBdr>
      <w:divsChild>
        <w:div w:id="18431165">
          <w:marLeft w:val="446"/>
          <w:marRight w:val="0"/>
          <w:marTop w:val="0"/>
          <w:marBottom w:val="0"/>
          <w:divBdr>
            <w:top w:val="none" w:sz="0" w:space="0" w:color="auto"/>
            <w:left w:val="none" w:sz="0" w:space="0" w:color="auto"/>
            <w:bottom w:val="none" w:sz="0" w:space="0" w:color="auto"/>
            <w:right w:val="none" w:sz="0" w:space="0" w:color="auto"/>
          </w:divBdr>
        </w:div>
        <w:div w:id="1148131437">
          <w:marLeft w:val="1166"/>
          <w:marRight w:val="0"/>
          <w:marTop w:val="0"/>
          <w:marBottom w:val="0"/>
          <w:divBdr>
            <w:top w:val="none" w:sz="0" w:space="0" w:color="auto"/>
            <w:left w:val="none" w:sz="0" w:space="0" w:color="auto"/>
            <w:bottom w:val="none" w:sz="0" w:space="0" w:color="auto"/>
            <w:right w:val="none" w:sz="0" w:space="0" w:color="auto"/>
          </w:divBdr>
        </w:div>
        <w:div w:id="1798062732">
          <w:marLeft w:val="1166"/>
          <w:marRight w:val="0"/>
          <w:marTop w:val="0"/>
          <w:marBottom w:val="0"/>
          <w:divBdr>
            <w:top w:val="none" w:sz="0" w:space="0" w:color="auto"/>
            <w:left w:val="none" w:sz="0" w:space="0" w:color="auto"/>
            <w:bottom w:val="none" w:sz="0" w:space="0" w:color="auto"/>
            <w:right w:val="none" w:sz="0" w:space="0" w:color="auto"/>
          </w:divBdr>
        </w:div>
        <w:div w:id="277957554">
          <w:marLeft w:val="446"/>
          <w:marRight w:val="0"/>
          <w:marTop w:val="0"/>
          <w:marBottom w:val="0"/>
          <w:divBdr>
            <w:top w:val="none" w:sz="0" w:space="0" w:color="auto"/>
            <w:left w:val="none" w:sz="0" w:space="0" w:color="auto"/>
            <w:bottom w:val="none" w:sz="0" w:space="0" w:color="auto"/>
            <w:right w:val="none" w:sz="0" w:space="0" w:color="auto"/>
          </w:divBdr>
        </w:div>
        <w:div w:id="1970620509">
          <w:marLeft w:val="1166"/>
          <w:marRight w:val="0"/>
          <w:marTop w:val="0"/>
          <w:marBottom w:val="0"/>
          <w:divBdr>
            <w:top w:val="none" w:sz="0" w:space="0" w:color="auto"/>
            <w:left w:val="none" w:sz="0" w:space="0" w:color="auto"/>
            <w:bottom w:val="none" w:sz="0" w:space="0" w:color="auto"/>
            <w:right w:val="none" w:sz="0" w:space="0" w:color="auto"/>
          </w:divBdr>
        </w:div>
        <w:div w:id="1211302604">
          <w:marLeft w:val="1166"/>
          <w:marRight w:val="0"/>
          <w:marTop w:val="0"/>
          <w:marBottom w:val="0"/>
          <w:divBdr>
            <w:top w:val="none" w:sz="0" w:space="0" w:color="auto"/>
            <w:left w:val="none" w:sz="0" w:space="0" w:color="auto"/>
            <w:bottom w:val="none" w:sz="0" w:space="0" w:color="auto"/>
            <w:right w:val="none" w:sz="0" w:space="0" w:color="auto"/>
          </w:divBdr>
        </w:div>
        <w:div w:id="1565217264">
          <w:marLeft w:val="1166"/>
          <w:marRight w:val="0"/>
          <w:marTop w:val="0"/>
          <w:marBottom w:val="0"/>
          <w:divBdr>
            <w:top w:val="none" w:sz="0" w:space="0" w:color="auto"/>
            <w:left w:val="none" w:sz="0" w:space="0" w:color="auto"/>
            <w:bottom w:val="none" w:sz="0" w:space="0" w:color="auto"/>
            <w:right w:val="none" w:sz="0" w:space="0" w:color="auto"/>
          </w:divBdr>
        </w:div>
        <w:div w:id="648444452">
          <w:marLeft w:val="446"/>
          <w:marRight w:val="0"/>
          <w:marTop w:val="0"/>
          <w:marBottom w:val="0"/>
          <w:divBdr>
            <w:top w:val="none" w:sz="0" w:space="0" w:color="auto"/>
            <w:left w:val="none" w:sz="0" w:space="0" w:color="auto"/>
            <w:bottom w:val="none" w:sz="0" w:space="0" w:color="auto"/>
            <w:right w:val="none" w:sz="0" w:space="0" w:color="auto"/>
          </w:divBdr>
        </w:div>
        <w:div w:id="1099988627">
          <w:marLeft w:val="1166"/>
          <w:marRight w:val="0"/>
          <w:marTop w:val="0"/>
          <w:marBottom w:val="0"/>
          <w:divBdr>
            <w:top w:val="none" w:sz="0" w:space="0" w:color="auto"/>
            <w:left w:val="none" w:sz="0" w:space="0" w:color="auto"/>
            <w:bottom w:val="none" w:sz="0" w:space="0" w:color="auto"/>
            <w:right w:val="none" w:sz="0" w:space="0" w:color="auto"/>
          </w:divBdr>
        </w:div>
        <w:div w:id="89088225">
          <w:marLeft w:val="1166"/>
          <w:marRight w:val="0"/>
          <w:marTop w:val="0"/>
          <w:marBottom w:val="0"/>
          <w:divBdr>
            <w:top w:val="none" w:sz="0" w:space="0" w:color="auto"/>
            <w:left w:val="none" w:sz="0" w:space="0" w:color="auto"/>
            <w:bottom w:val="none" w:sz="0" w:space="0" w:color="auto"/>
            <w:right w:val="none" w:sz="0" w:space="0" w:color="auto"/>
          </w:divBdr>
        </w:div>
        <w:div w:id="921597867">
          <w:marLeft w:val="446"/>
          <w:marRight w:val="0"/>
          <w:marTop w:val="0"/>
          <w:marBottom w:val="0"/>
          <w:divBdr>
            <w:top w:val="none" w:sz="0" w:space="0" w:color="auto"/>
            <w:left w:val="none" w:sz="0" w:space="0" w:color="auto"/>
            <w:bottom w:val="none" w:sz="0" w:space="0" w:color="auto"/>
            <w:right w:val="none" w:sz="0" w:space="0" w:color="auto"/>
          </w:divBdr>
        </w:div>
        <w:div w:id="1545363107">
          <w:marLeft w:val="1166"/>
          <w:marRight w:val="0"/>
          <w:marTop w:val="0"/>
          <w:marBottom w:val="0"/>
          <w:divBdr>
            <w:top w:val="none" w:sz="0" w:space="0" w:color="auto"/>
            <w:left w:val="none" w:sz="0" w:space="0" w:color="auto"/>
            <w:bottom w:val="none" w:sz="0" w:space="0" w:color="auto"/>
            <w:right w:val="none" w:sz="0" w:space="0" w:color="auto"/>
          </w:divBdr>
        </w:div>
        <w:div w:id="1977224750">
          <w:marLeft w:val="1166"/>
          <w:marRight w:val="0"/>
          <w:marTop w:val="0"/>
          <w:marBottom w:val="0"/>
          <w:divBdr>
            <w:top w:val="none" w:sz="0" w:space="0" w:color="auto"/>
            <w:left w:val="none" w:sz="0" w:space="0" w:color="auto"/>
            <w:bottom w:val="none" w:sz="0" w:space="0" w:color="auto"/>
            <w:right w:val="none" w:sz="0" w:space="0" w:color="auto"/>
          </w:divBdr>
        </w:div>
      </w:divsChild>
    </w:div>
    <w:div w:id="428477463">
      <w:bodyDiv w:val="1"/>
      <w:marLeft w:val="0"/>
      <w:marRight w:val="0"/>
      <w:marTop w:val="0"/>
      <w:marBottom w:val="0"/>
      <w:divBdr>
        <w:top w:val="none" w:sz="0" w:space="0" w:color="auto"/>
        <w:left w:val="none" w:sz="0" w:space="0" w:color="auto"/>
        <w:bottom w:val="none" w:sz="0" w:space="0" w:color="auto"/>
        <w:right w:val="none" w:sz="0" w:space="0" w:color="auto"/>
      </w:divBdr>
      <w:divsChild>
        <w:div w:id="583758505">
          <w:marLeft w:val="0"/>
          <w:marRight w:val="0"/>
          <w:marTop w:val="0"/>
          <w:marBottom w:val="0"/>
          <w:divBdr>
            <w:top w:val="none" w:sz="0" w:space="0" w:color="auto"/>
            <w:left w:val="none" w:sz="0" w:space="0" w:color="auto"/>
            <w:bottom w:val="none" w:sz="0" w:space="0" w:color="auto"/>
            <w:right w:val="none" w:sz="0" w:space="0" w:color="auto"/>
          </w:divBdr>
        </w:div>
        <w:div w:id="1670522943">
          <w:marLeft w:val="0"/>
          <w:marRight w:val="0"/>
          <w:marTop w:val="0"/>
          <w:marBottom w:val="0"/>
          <w:divBdr>
            <w:top w:val="none" w:sz="0" w:space="0" w:color="auto"/>
            <w:left w:val="none" w:sz="0" w:space="0" w:color="auto"/>
            <w:bottom w:val="none" w:sz="0" w:space="0" w:color="auto"/>
            <w:right w:val="none" w:sz="0" w:space="0" w:color="auto"/>
          </w:divBdr>
        </w:div>
        <w:div w:id="2135514243">
          <w:marLeft w:val="0"/>
          <w:marRight w:val="0"/>
          <w:marTop w:val="0"/>
          <w:marBottom w:val="0"/>
          <w:divBdr>
            <w:top w:val="none" w:sz="0" w:space="0" w:color="auto"/>
            <w:left w:val="none" w:sz="0" w:space="0" w:color="auto"/>
            <w:bottom w:val="none" w:sz="0" w:space="0" w:color="auto"/>
            <w:right w:val="none" w:sz="0" w:space="0" w:color="auto"/>
          </w:divBdr>
        </w:div>
        <w:div w:id="1008796039">
          <w:marLeft w:val="0"/>
          <w:marRight w:val="0"/>
          <w:marTop w:val="0"/>
          <w:marBottom w:val="0"/>
          <w:divBdr>
            <w:top w:val="none" w:sz="0" w:space="0" w:color="auto"/>
            <w:left w:val="none" w:sz="0" w:space="0" w:color="auto"/>
            <w:bottom w:val="none" w:sz="0" w:space="0" w:color="auto"/>
            <w:right w:val="none" w:sz="0" w:space="0" w:color="auto"/>
          </w:divBdr>
        </w:div>
        <w:div w:id="246303577">
          <w:marLeft w:val="0"/>
          <w:marRight w:val="0"/>
          <w:marTop w:val="0"/>
          <w:marBottom w:val="0"/>
          <w:divBdr>
            <w:top w:val="none" w:sz="0" w:space="0" w:color="auto"/>
            <w:left w:val="none" w:sz="0" w:space="0" w:color="auto"/>
            <w:bottom w:val="none" w:sz="0" w:space="0" w:color="auto"/>
            <w:right w:val="none" w:sz="0" w:space="0" w:color="auto"/>
          </w:divBdr>
        </w:div>
        <w:div w:id="826097061">
          <w:marLeft w:val="0"/>
          <w:marRight w:val="0"/>
          <w:marTop w:val="0"/>
          <w:marBottom w:val="0"/>
          <w:divBdr>
            <w:top w:val="none" w:sz="0" w:space="0" w:color="auto"/>
            <w:left w:val="none" w:sz="0" w:space="0" w:color="auto"/>
            <w:bottom w:val="none" w:sz="0" w:space="0" w:color="auto"/>
            <w:right w:val="none" w:sz="0" w:space="0" w:color="auto"/>
          </w:divBdr>
        </w:div>
        <w:div w:id="261375100">
          <w:marLeft w:val="0"/>
          <w:marRight w:val="0"/>
          <w:marTop w:val="0"/>
          <w:marBottom w:val="0"/>
          <w:divBdr>
            <w:top w:val="none" w:sz="0" w:space="0" w:color="auto"/>
            <w:left w:val="none" w:sz="0" w:space="0" w:color="auto"/>
            <w:bottom w:val="none" w:sz="0" w:space="0" w:color="auto"/>
            <w:right w:val="none" w:sz="0" w:space="0" w:color="auto"/>
          </w:divBdr>
        </w:div>
        <w:div w:id="1545411962">
          <w:marLeft w:val="0"/>
          <w:marRight w:val="0"/>
          <w:marTop w:val="0"/>
          <w:marBottom w:val="0"/>
          <w:divBdr>
            <w:top w:val="none" w:sz="0" w:space="0" w:color="auto"/>
            <w:left w:val="none" w:sz="0" w:space="0" w:color="auto"/>
            <w:bottom w:val="none" w:sz="0" w:space="0" w:color="auto"/>
            <w:right w:val="none" w:sz="0" w:space="0" w:color="auto"/>
          </w:divBdr>
        </w:div>
        <w:div w:id="1504587704">
          <w:marLeft w:val="0"/>
          <w:marRight w:val="0"/>
          <w:marTop w:val="0"/>
          <w:marBottom w:val="0"/>
          <w:divBdr>
            <w:top w:val="none" w:sz="0" w:space="0" w:color="auto"/>
            <w:left w:val="none" w:sz="0" w:space="0" w:color="auto"/>
            <w:bottom w:val="none" w:sz="0" w:space="0" w:color="auto"/>
            <w:right w:val="none" w:sz="0" w:space="0" w:color="auto"/>
          </w:divBdr>
        </w:div>
        <w:div w:id="1088890475">
          <w:marLeft w:val="0"/>
          <w:marRight w:val="0"/>
          <w:marTop w:val="0"/>
          <w:marBottom w:val="0"/>
          <w:divBdr>
            <w:top w:val="none" w:sz="0" w:space="0" w:color="auto"/>
            <w:left w:val="none" w:sz="0" w:space="0" w:color="auto"/>
            <w:bottom w:val="none" w:sz="0" w:space="0" w:color="auto"/>
            <w:right w:val="none" w:sz="0" w:space="0" w:color="auto"/>
          </w:divBdr>
        </w:div>
        <w:div w:id="1503281763">
          <w:marLeft w:val="0"/>
          <w:marRight w:val="0"/>
          <w:marTop w:val="0"/>
          <w:marBottom w:val="0"/>
          <w:divBdr>
            <w:top w:val="none" w:sz="0" w:space="0" w:color="auto"/>
            <w:left w:val="none" w:sz="0" w:space="0" w:color="auto"/>
            <w:bottom w:val="none" w:sz="0" w:space="0" w:color="auto"/>
            <w:right w:val="none" w:sz="0" w:space="0" w:color="auto"/>
          </w:divBdr>
        </w:div>
        <w:div w:id="1700617770">
          <w:marLeft w:val="0"/>
          <w:marRight w:val="0"/>
          <w:marTop w:val="0"/>
          <w:marBottom w:val="0"/>
          <w:divBdr>
            <w:top w:val="none" w:sz="0" w:space="0" w:color="auto"/>
            <w:left w:val="none" w:sz="0" w:space="0" w:color="auto"/>
            <w:bottom w:val="none" w:sz="0" w:space="0" w:color="auto"/>
            <w:right w:val="none" w:sz="0" w:space="0" w:color="auto"/>
          </w:divBdr>
        </w:div>
        <w:div w:id="421218783">
          <w:marLeft w:val="0"/>
          <w:marRight w:val="0"/>
          <w:marTop w:val="0"/>
          <w:marBottom w:val="0"/>
          <w:divBdr>
            <w:top w:val="none" w:sz="0" w:space="0" w:color="auto"/>
            <w:left w:val="none" w:sz="0" w:space="0" w:color="auto"/>
            <w:bottom w:val="none" w:sz="0" w:space="0" w:color="auto"/>
            <w:right w:val="none" w:sz="0" w:space="0" w:color="auto"/>
          </w:divBdr>
        </w:div>
        <w:div w:id="263997701">
          <w:marLeft w:val="0"/>
          <w:marRight w:val="0"/>
          <w:marTop w:val="0"/>
          <w:marBottom w:val="0"/>
          <w:divBdr>
            <w:top w:val="none" w:sz="0" w:space="0" w:color="auto"/>
            <w:left w:val="none" w:sz="0" w:space="0" w:color="auto"/>
            <w:bottom w:val="none" w:sz="0" w:space="0" w:color="auto"/>
            <w:right w:val="none" w:sz="0" w:space="0" w:color="auto"/>
          </w:divBdr>
        </w:div>
        <w:div w:id="1551989409">
          <w:marLeft w:val="0"/>
          <w:marRight w:val="0"/>
          <w:marTop w:val="0"/>
          <w:marBottom w:val="0"/>
          <w:divBdr>
            <w:top w:val="none" w:sz="0" w:space="0" w:color="auto"/>
            <w:left w:val="none" w:sz="0" w:space="0" w:color="auto"/>
            <w:bottom w:val="none" w:sz="0" w:space="0" w:color="auto"/>
            <w:right w:val="none" w:sz="0" w:space="0" w:color="auto"/>
          </w:divBdr>
        </w:div>
      </w:divsChild>
    </w:div>
    <w:div w:id="435910701">
      <w:bodyDiv w:val="1"/>
      <w:marLeft w:val="0"/>
      <w:marRight w:val="0"/>
      <w:marTop w:val="0"/>
      <w:marBottom w:val="0"/>
      <w:divBdr>
        <w:top w:val="none" w:sz="0" w:space="0" w:color="auto"/>
        <w:left w:val="none" w:sz="0" w:space="0" w:color="auto"/>
        <w:bottom w:val="none" w:sz="0" w:space="0" w:color="auto"/>
        <w:right w:val="none" w:sz="0" w:space="0" w:color="auto"/>
      </w:divBdr>
    </w:div>
    <w:div w:id="449475144">
      <w:bodyDiv w:val="1"/>
      <w:marLeft w:val="0"/>
      <w:marRight w:val="0"/>
      <w:marTop w:val="0"/>
      <w:marBottom w:val="0"/>
      <w:divBdr>
        <w:top w:val="none" w:sz="0" w:space="0" w:color="auto"/>
        <w:left w:val="none" w:sz="0" w:space="0" w:color="auto"/>
        <w:bottom w:val="none" w:sz="0" w:space="0" w:color="auto"/>
        <w:right w:val="none" w:sz="0" w:space="0" w:color="auto"/>
      </w:divBdr>
    </w:div>
    <w:div w:id="575094431">
      <w:bodyDiv w:val="1"/>
      <w:marLeft w:val="0"/>
      <w:marRight w:val="0"/>
      <w:marTop w:val="0"/>
      <w:marBottom w:val="0"/>
      <w:divBdr>
        <w:top w:val="none" w:sz="0" w:space="0" w:color="auto"/>
        <w:left w:val="none" w:sz="0" w:space="0" w:color="auto"/>
        <w:bottom w:val="none" w:sz="0" w:space="0" w:color="auto"/>
        <w:right w:val="none" w:sz="0" w:space="0" w:color="auto"/>
      </w:divBdr>
    </w:div>
    <w:div w:id="622465800">
      <w:bodyDiv w:val="1"/>
      <w:marLeft w:val="0"/>
      <w:marRight w:val="0"/>
      <w:marTop w:val="0"/>
      <w:marBottom w:val="0"/>
      <w:divBdr>
        <w:top w:val="none" w:sz="0" w:space="0" w:color="auto"/>
        <w:left w:val="none" w:sz="0" w:space="0" w:color="auto"/>
        <w:bottom w:val="none" w:sz="0" w:space="0" w:color="auto"/>
        <w:right w:val="none" w:sz="0" w:space="0" w:color="auto"/>
      </w:divBdr>
    </w:div>
    <w:div w:id="702827820">
      <w:bodyDiv w:val="1"/>
      <w:marLeft w:val="0"/>
      <w:marRight w:val="0"/>
      <w:marTop w:val="0"/>
      <w:marBottom w:val="0"/>
      <w:divBdr>
        <w:top w:val="none" w:sz="0" w:space="0" w:color="auto"/>
        <w:left w:val="none" w:sz="0" w:space="0" w:color="auto"/>
        <w:bottom w:val="none" w:sz="0" w:space="0" w:color="auto"/>
        <w:right w:val="none" w:sz="0" w:space="0" w:color="auto"/>
      </w:divBdr>
    </w:div>
    <w:div w:id="729503249">
      <w:bodyDiv w:val="1"/>
      <w:marLeft w:val="0"/>
      <w:marRight w:val="0"/>
      <w:marTop w:val="0"/>
      <w:marBottom w:val="0"/>
      <w:divBdr>
        <w:top w:val="none" w:sz="0" w:space="0" w:color="auto"/>
        <w:left w:val="none" w:sz="0" w:space="0" w:color="auto"/>
        <w:bottom w:val="none" w:sz="0" w:space="0" w:color="auto"/>
        <w:right w:val="none" w:sz="0" w:space="0" w:color="auto"/>
      </w:divBdr>
    </w:div>
    <w:div w:id="842160510">
      <w:bodyDiv w:val="1"/>
      <w:marLeft w:val="0"/>
      <w:marRight w:val="0"/>
      <w:marTop w:val="0"/>
      <w:marBottom w:val="0"/>
      <w:divBdr>
        <w:top w:val="none" w:sz="0" w:space="0" w:color="auto"/>
        <w:left w:val="none" w:sz="0" w:space="0" w:color="auto"/>
        <w:bottom w:val="none" w:sz="0" w:space="0" w:color="auto"/>
        <w:right w:val="none" w:sz="0" w:space="0" w:color="auto"/>
      </w:divBdr>
    </w:div>
    <w:div w:id="1028600586">
      <w:bodyDiv w:val="1"/>
      <w:marLeft w:val="0"/>
      <w:marRight w:val="0"/>
      <w:marTop w:val="0"/>
      <w:marBottom w:val="0"/>
      <w:divBdr>
        <w:top w:val="none" w:sz="0" w:space="0" w:color="auto"/>
        <w:left w:val="none" w:sz="0" w:space="0" w:color="auto"/>
        <w:bottom w:val="none" w:sz="0" w:space="0" w:color="auto"/>
        <w:right w:val="none" w:sz="0" w:space="0" w:color="auto"/>
      </w:divBdr>
    </w:div>
    <w:div w:id="1101217674">
      <w:bodyDiv w:val="1"/>
      <w:marLeft w:val="0"/>
      <w:marRight w:val="0"/>
      <w:marTop w:val="0"/>
      <w:marBottom w:val="0"/>
      <w:divBdr>
        <w:top w:val="none" w:sz="0" w:space="0" w:color="auto"/>
        <w:left w:val="none" w:sz="0" w:space="0" w:color="auto"/>
        <w:bottom w:val="none" w:sz="0" w:space="0" w:color="auto"/>
        <w:right w:val="none" w:sz="0" w:space="0" w:color="auto"/>
      </w:divBdr>
    </w:div>
    <w:div w:id="1329284916">
      <w:bodyDiv w:val="1"/>
      <w:marLeft w:val="0"/>
      <w:marRight w:val="0"/>
      <w:marTop w:val="0"/>
      <w:marBottom w:val="0"/>
      <w:divBdr>
        <w:top w:val="none" w:sz="0" w:space="0" w:color="auto"/>
        <w:left w:val="none" w:sz="0" w:space="0" w:color="auto"/>
        <w:bottom w:val="none" w:sz="0" w:space="0" w:color="auto"/>
        <w:right w:val="none" w:sz="0" w:space="0" w:color="auto"/>
      </w:divBdr>
    </w:div>
    <w:div w:id="1426683278">
      <w:bodyDiv w:val="1"/>
      <w:marLeft w:val="0"/>
      <w:marRight w:val="0"/>
      <w:marTop w:val="0"/>
      <w:marBottom w:val="0"/>
      <w:divBdr>
        <w:top w:val="none" w:sz="0" w:space="0" w:color="auto"/>
        <w:left w:val="none" w:sz="0" w:space="0" w:color="auto"/>
        <w:bottom w:val="none" w:sz="0" w:space="0" w:color="auto"/>
        <w:right w:val="none" w:sz="0" w:space="0" w:color="auto"/>
      </w:divBdr>
    </w:div>
    <w:div w:id="1450197485">
      <w:bodyDiv w:val="1"/>
      <w:marLeft w:val="0"/>
      <w:marRight w:val="0"/>
      <w:marTop w:val="0"/>
      <w:marBottom w:val="0"/>
      <w:divBdr>
        <w:top w:val="none" w:sz="0" w:space="0" w:color="auto"/>
        <w:left w:val="none" w:sz="0" w:space="0" w:color="auto"/>
        <w:bottom w:val="none" w:sz="0" w:space="0" w:color="auto"/>
        <w:right w:val="none" w:sz="0" w:space="0" w:color="auto"/>
      </w:divBdr>
    </w:div>
    <w:div w:id="1495801379">
      <w:bodyDiv w:val="1"/>
      <w:marLeft w:val="0"/>
      <w:marRight w:val="0"/>
      <w:marTop w:val="0"/>
      <w:marBottom w:val="0"/>
      <w:divBdr>
        <w:top w:val="none" w:sz="0" w:space="0" w:color="auto"/>
        <w:left w:val="none" w:sz="0" w:space="0" w:color="auto"/>
        <w:bottom w:val="none" w:sz="0" w:space="0" w:color="auto"/>
        <w:right w:val="none" w:sz="0" w:space="0" w:color="auto"/>
      </w:divBdr>
      <w:divsChild>
        <w:div w:id="1327901226">
          <w:marLeft w:val="0"/>
          <w:marRight w:val="0"/>
          <w:marTop w:val="0"/>
          <w:marBottom w:val="0"/>
          <w:divBdr>
            <w:top w:val="none" w:sz="0" w:space="0" w:color="auto"/>
            <w:left w:val="none" w:sz="0" w:space="0" w:color="auto"/>
            <w:bottom w:val="none" w:sz="0" w:space="0" w:color="auto"/>
            <w:right w:val="none" w:sz="0" w:space="0" w:color="auto"/>
          </w:divBdr>
        </w:div>
        <w:div w:id="797574088">
          <w:marLeft w:val="0"/>
          <w:marRight w:val="0"/>
          <w:marTop w:val="0"/>
          <w:marBottom w:val="0"/>
          <w:divBdr>
            <w:top w:val="none" w:sz="0" w:space="0" w:color="auto"/>
            <w:left w:val="none" w:sz="0" w:space="0" w:color="auto"/>
            <w:bottom w:val="none" w:sz="0" w:space="0" w:color="auto"/>
            <w:right w:val="none" w:sz="0" w:space="0" w:color="auto"/>
          </w:divBdr>
        </w:div>
        <w:div w:id="484201699">
          <w:marLeft w:val="0"/>
          <w:marRight w:val="0"/>
          <w:marTop w:val="0"/>
          <w:marBottom w:val="0"/>
          <w:divBdr>
            <w:top w:val="none" w:sz="0" w:space="0" w:color="auto"/>
            <w:left w:val="none" w:sz="0" w:space="0" w:color="auto"/>
            <w:bottom w:val="none" w:sz="0" w:space="0" w:color="auto"/>
            <w:right w:val="none" w:sz="0" w:space="0" w:color="auto"/>
          </w:divBdr>
        </w:div>
        <w:div w:id="1017541479">
          <w:marLeft w:val="0"/>
          <w:marRight w:val="0"/>
          <w:marTop w:val="0"/>
          <w:marBottom w:val="0"/>
          <w:divBdr>
            <w:top w:val="none" w:sz="0" w:space="0" w:color="auto"/>
            <w:left w:val="none" w:sz="0" w:space="0" w:color="auto"/>
            <w:bottom w:val="none" w:sz="0" w:space="0" w:color="auto"/>
            <w:right w:val="none" w:sz="0" w:space="0" w:color="auto"/>
          </w:divBdr>
        </w:div>
        <w:div w:id="1818720615">
          <w:marLeft w:val="0"/>
          <w:marRight w:val="0"/>
          <w:marTop w:val="0"/>
          <w:marBottom w:val="0"/>
          <w:divBdr>
            <w:top w:val="none" w:sz="0" w:space="0" w:color="auto"/>
            <w:left w:val="none" w:sz="0" w:space="0" w:color="auto"/>
            <w:bottom w:val="none" w:sz="0" w:space="0" w:color="auto"/>
            <w:right w:val="none" w:sz="0" w:space="0" w:color="auto"/>
          </w:divBdr>
        </w:div>
        <w:div w:id="286203218">
          <w:marLeft w:val="0"/>
          <w:marRight w:val="0"/>
          <w:marTop w:val="0"/>
          <w:marBottom w:val="0"/>
          <w:divBdr>
            <w:top w:val="none" w:sz="0" w:space="0" w:color="auto"/>
            <w:left w:val="none" w:sz="0" w:space="0" w:color="auto"/>
            <w:bottom w:val="none" w:sz="0" w:space="0" w:color="auto"/>
            <w:right w:val="none" w:sz="0" w:space="0" w:color="auto"/>
          </w:divBdr>
        </w:div>
        <w:div w:id="1826389711">
          <w:marLeft w:val="0"/>
          <w:marRight w:val="0"/>
          <w:marTop w:val="0"/>
          <w:marBottom w:val="0"/>
          <w:divBdr>
            <w:top w:val="none" w:sz="0" w:space="0" w:color="auto"/>
            <w:left w:val="none" w:sz="0" w:space="0" w:color="auto"/>
            <w:bottom w:val="none" w:sz="0" w:space="0" w:color="auto"/>
            <w:right w:val="none" w:sz="0" w:space="0" w:color="auto"/>
          </w:divBdr>
        </w:div>
        <w:div w:id="1915237637">
          <w:marLeft w:val="0"/>
          <w:marRight w:val="0"/>
          <w:marTop w:val="0"/>
          <w:marBottom w:val="0"/>
          <w:divBdr>
            <w:top w:val="none" w:sz="0" w:space="0" w:color="auto"/>
            <w:left w:val="none" w:sz="0" w:space="0" w:color="auto"/>
            <w:bottom w:val="none" w:sz="0" w:space="0" w:color="auto"/>
            <w:right w:val="none" w:sz="0" w:space="0" w:color="auto"/>
          </w:divBdr>
        </w:div>
        <w:div w:id="342168838">
          <w:marLeft w:val="0"/>
          <w:marRight w:val="0"/>
          <w:marTop w:val="0"/>
          <w:marBottom w:val="0"/>
          <w:divBdr>
            <w:top w:val="none" w:sz="0" w:space="0" w:color="auto"/>
            <w:left w:val="none" w:sz="0" w:space="0" w:color="auto"/>
            <w:bottom w:val="none" w:sz="0" w:space="0" w:color="auto"/>
            <w:right w:val="none" w:sz="0" w:space="0" w:color="auto"/>
          </w:divBdr>
        </w:div>
        <w:div w:id="461339865">
          <w:marLeft w:val="0"/>
          <w:marRight w:val="0"/>
          <w:marTop w:val="0"/>
          <w:marBottom w:val="0"/>
          <w:divBdr>
            <w:top w:val="none" w:sz="0" w:space="0" w:color="auto"/>
            <w:left w:val="none" w:sz="0" w:space="0" w:color="auto"/>
            <w:bottom w:val="none" w:sz="0" w:space="0" w:color="auto"/>
            <w:right w:val="none" w:sz="0" w:space="0" w:color="auto"/>
          </w:divBdr>
        </w:div>
        <w:div w:id="1218317171">
          <w:marLeft w:val="0"/>
          <w:marRight w:val="0"/>
          <w:marTop w:val="0"/>
          <w:marBottom w:val="0"/>
          <w:divBdr>
            <w:top w:val="none" w:sz="0" w:space="0" w:color="auto"/>
            <w:left w:val="none" w:sz="0" w:space="0" w:color="auto"/>
            <w:bottom w:val="none" w:sz="0" w:space="0" w:color="auto"/>
            <w:right w:val="none" w:sz="0" w:space="0" w:color="auto"/>
          </w:divBdr>
        </w:div>
        <w:div w:id="1264148611">
          <w:marLeft w:val="0"/>
          <w:marRight w:val="0"/>
          <w:marTop w:val="0"/>
          <w:marBottom w:val="0"/>
          <w:divBdr>
            <w:top w:val="none" w:sz="0" w:space="0" w:color="auto"/>
            <w:left w:val="none" w:sz="0" w:space="0" w:color="auto"/>
            <w:bottom w:val="none" w:sz="0" w:space="0" w:color="auto"/>
            <w:right w:val="none" w:sz="0" w:space="0" w:color="auto"/>
          </w:divBdr>
        </w:div>
        <w:div w:id="588579974">
          <w:marLeft w:val="0"/>
          <w:marRight w:val="0"/>
          <w:marTop w:val="0"/>
          <w:marBottom w:val="0"/>
          <w:divBdr>
            <w:top w:val="none" w:sz="0" w:space="0" w:color="auto"/>
            <w:left w:val="none" w:sz="0" w:space="0" w:color="auto"/>
            <w:bottom w:val="none" w:sz="0" w:space="0" w:color="auto"/>
            <w:right w:val="none" w:sz="0" w:space="0" w:color="auto"/>
          </w:divBdr>
        </w:div>
        <w:div w:id="273706598">
          <w:marLeft w:val="0"/>
          <w:marRight w:val="0"/>
          <w:marTop w:val="0"/>
          <w:marBottom w:val="0"/>
          <w:divBdr>
            <w:top w:val="none" w:sz="0" w:space="0" w:color="auto"/>
            <w:left w:val="none" w:sz="0" w:space="0" w:color="auto"/>
            <w:bottom w:val="none" w:sz="0" w:space="0" w:color="auto"/>
            <w:right w:val="none" w:sz="0" w:space="0" w:color="auto"/>
          </w:divBdr>
        </w:div>
        <w:div w:id="1915695812">
          <w:marLeft w:val="0"/>
          <w:marRight w:val="0"/>
          <w:marTop w:val="0"/>
          <w:marBottom w:val="0"/>
          <w:divBdr>
            <w:top w:val="none" w:sz="0" w:space="0" w:color="auto"/>
            <w:left w:val="none" w:sz="0" w:space="0" w:color="auto"/>
            <w:bottom w:val="none" w:sz="0" w:space="0" w:color="auto"/>
            <w:right w:val="none" w:sz="0" w:space="0" w:color="auto"/>
          </w:divBdr>
        </w:div>
        <w:div w:id="701369942">
          <w:marLeft w:val="0"/>
          <w:marRight w:val="0"/>
          <w:marTop w:val="0"/>
          <w:marBottom w:val="0"/>
          <w:divBdr>
            <w:top w:val="none" w:sz="0" w:space="0" w:color="auto"/>
            <w:left w:val="none" w:sz="0" w:space="0" w:color="auto"/>
            <w:bottom w:val="none" w:sz="0" w:space="0" w:color="auto"/>
            <w:right w:val="none" w:sz="0" w:space="0" w:color="auto"/>
          </w:divBdr>
        </w:div>
        <w:div w:id="2062360504">
          <w:marLeft w:val="0"/>
          <w:marRight w:val="0"/>
          <w:marTop w:val="0"/>
          <w:marBottom w:val="0"/>
          <w:divBdr>
            <w:top w:val="none" w:sz="0" w:space="0" w:color="auto"/>
            <w:left w:val="none" w:sz="0" w:space="0" w:color="auto"/>
            <w:bottom w:val="none" w:sz="0" w:space="0" w:color="auto"/>
            <w:right w:val="none" w:sz="0" w:space="0" w:color="auto"/>
          </w:divBdr>
        </w:div>
      </w:divsChild>
    </w:div>
    <w:div w:id="1623227138">
      <w:bodyDiv w:val="1"/>
      <w:marLeft w:val="0"/>
      <w:marRight w:val="0"/>
      <w:marTop w:val="0"/>
      <w:marBottom w:val="0"/>
      <w:divBdr>
        <w:top w:val="none" w:sz="0" w:space="0" w:color="auto"/>
        <w:left w:val="none" w:sz="0" w:space="0" w:color="auto"/>
        <w:bottom w:val="none" w:sz="0" w:space="0" w:color="auto"/>
        <w:right w:val="none" w:sz="0" w:space="0" w:color="auto"/>
      </w:divBdr>
    </w:div>
    <w:div w:id="1633945908">
      <w:bodyDiv w:val="1"/>
      <w:marLeft w:val="0"/>
      <w:marRight w:val="0"/>
      <w:marTop w:val="0"/>
      <w:marBottom w:val="0"/>
      <w:divBdr>
        <w:top w:val="none" w:sz="0" w:space="0" w:color="auto"/>
        <w:left w:val="none" w:sz="0" w:space="0" w:color="auto"/>
        <w:bottom w:val="none" w:sz="0" w:space="0" w:color="auto"/>
        <w:right w:val="none" w:sz="0" w:space="0" w:color="auto"/>
      </w:divBdr>
    </w:div>
    <w:div w:id="1705710526">
      <w:bodyDiv w:val="1"/>
      <w:marLeft w:val="0"/>
      <w:marRight w:val="0"/>
      <w:marTop w:val="0"/>
      <w:marBottom w:val="0"/>
      <w:divBdr>
        <w:top w:val="none" w:sz="0" w:space="0" w:color="auto"/>
        <w:left w:val="none" w:sz="0" w:space="0" w:color="auto"/>
        <w:bottom w:val="none" w:sz="0" w:space="0" w:color="auto"/>
        <w:right w:val="none" w:sz="0" w:space="0" w:color="auto"/>
      </w:divBdr>
    </w:div>
    <w:div w:id="1777409791">
      <w:bodyDiv w:val="1"/>
      <w:marLeft w:val="0"/>
      <w:marRight w:val="0"/>
      <w:marTop w:val="0"/>
      <w:marBottom w:val="0"/>
      <w:divBdr>
        <w:top w:val="none" w:sz="0" w:space="0" w:color="auto"/>
        <w:left w:val="none" w:sz="0" w:space="0" w:color="auto"/>
        <w:bottom w:val="none" w:sz="0" w:space="0" w:color="auto"/>
        <w:right w:val="none" w:sz="0" w:space="0" w:color="auto"/>
      </w:divBdr>
    </w:div>
    <w:div w:id="1817255407">
      <w:bodyDiv w:val="1"/>
      <w:marLeft w:val="0"/>
      <w:marRight w:val="0"/>
      <w:marTop w:val="0"/>
      <w:marBottom w:val="0"/>
      <w:divBdr>
        <w:top w:val="none" w:sz="0" w:space="0" w:color="auto"/>
        <w:left w:val="none" w:sz="0" w:space="0" w:color="auto"/>
        <w:bottom w:val="none" w:sz="0" w:space="0" w:color="auto"/>
        <w:right w:val="none" w:sz="0" w:space="0" w:color="auto"/>
      </w:divBdr>
    </w:div>
    <w:div w:id="1820345007">
      <w:bodyDiv w:val="1"/>
      <w:marLeft w:val="0"/>
      <w:marRight w:val="0"/>
      <w:marTop w:val="0"/>
      <w:marBottom w:val="0"/>
      <w:divBdr>
        <w:top w:val="none" w:sz="0" w:space="0" w:color="auto"/>
        <w:left w:val="none" w:sz="0" w:space="0" w:color="auto"/>
        <w:bottom w:val="none" w:sz="0" w:space="0" w:color="auto"/>
        <w:right w:val="none" w:sz="0" w:space="0" w:color="auto"/>
      </w:divBdr>
      <w:divsChild>
        <w:div w:id="1289820208">
          <w:marLeft w:val="547"/>
          <w:marRight w:val="0"/>
          <w:marTop w:val="0"/>
          <w:marBottom w:val="0"/>
          <w:divBdr>
            <w:top w:val="none" w:sz="0" w:space="0" w:color="auto"/>
            <w:left w:val="none" w:sz="0" w:space="0" w:color="auto"/>
            <w:bottom w:val="none" w:sz="0" w:space="0" w:color="auto"/>
            <w:right w:val="none" w:sz="0" w:space="0" w:color="auto"/>
          </w:divBdr>
        </w:div>
      </w:divsChild>
    </w:div>
    <w:div w:id="1835563042">
      <w:bodyDiv w:val="1"/>
      <w:marLeft w:val="0"/>
      <w:marRight w:val="0"/>
      <w:marTop w:val="0"/>
      <w:marBottom w:val="0"/>
      <w:divBdr>
        <w:top w:val="none" w:sz="0" w:space="0" w:color="auto"/>
        <w:left w:val="none" w:sz="0" w:space="0" w:color="auto"/>
        <w:bottom w:val="none" w:sz="0" w:space="0" w:color="auto"/>
        <w:right w:val="none" w:sz="0" w:space="0" w:color="auto"/>
      </w:divBdr>
    </w:div>
    <w:div w:id="1845977042">
      <w:bodyDiv w:val="1"/>
      <w:marLeft w:val="0"/>
      <w:marRight w:val="0"/>
      <w:marTop w:val="0"/>
      <w:marBottom w:val="0"/>
      <w:divBdr>
        <w:top w:val="none" w:sz="0" w:space="0" w:color="auto"/>
        <w:left w:val="none" w:sz="0" w:space="0" w:color="auto"/>
        <w:bottom w:val="none" w:sz="0" w:space="0" w:color="auto"/>
        <w:right w:val="none" w:sz="0" w:space="0" w:color="auto"/>
      </w:divBdr>
      <w:divsChild>
        <w:div w:id="1985548177">
          <w:marLeft w:val="0"/>
          <w:marRight w:val="0"/>
          <w:marTop w:val="0"/>
          <w:marBottom w:val="0"/>
          <w:divBdr>
            <w:top w:val="none" w:sz="0" w:space="0" w:color="auto"/>
            <w:left w:val="none" w:sz="0" w:space="0" w:color="auto"/>
            <w:bottom w:val="none" w:sz="0" w:space="0" w:color="auto"/>
            <w:right w:val="none" w:sz="0" w:space="0" w:color="auto"/>
          </w:divBdr>
        </w:div>
        <w:div w:id="707220308">
          <w:marLeft w:val="0"/>
          <w:marRight w:val="0"/>
          <w:marTop w:val="0"/>
          <w:marBottom w:val="0"/>
          <w:divBdr>
            <w:top w:val="none" w:sz="0" w:space="0" w:color="auto"/>
            <w:left w:val="none" w:sz="0" w:space="0" w:color="auto"/>
            <w:bottom w:val="none" w:sz="0" w:space="0" w:color="auto"/>
            <w:right w:val="none" w:sz="0" w:space="0" w:color="auto"/>
          </w:divBdr>
        </w:div>
        <w:div w:id="1565338007">
          <w:marLeft w:val="0"/>
          <w:marRight w:val="0"/>
          <w:marTop w:val="0"/>
          <w:marBottom w:val="0"/>
          <w:divBdr>
            <w:top w:val="none" w:sz="0" w:space="0" w:color="auto"/>
            <w:left w:val="none" w:sz="0" w:space="0" w:color="auto"/>
            <w:bottom w:val="none" w:sz="0" w:space="0" w:color="auto"/>
            <w:right w:val="none" w:sz="0" w:space="0" w:color="auto"/>
          </w:divBdr>
        </w:div>
        <w:div w:id="730009042">
          <w:marLeft w:val="0"/>
          <w:marRight w:val="0"/>
          <w:marTop w:val="0"/>
          <w:marBottom w:val="0"/>
          <w:divBdr>
            <w:top w:val="none" w:sz="0" w:space="0" w:color="auto"/>
            <w:left w:val="none" w:sz="0" w:space="0" w:color="auto"/>
            <w:bottom w:val="none" w:sz="0" w:space="0" w:color="auto"/>
            <w:right w:val="none" w:sz="0" w:space="0" w:color="auto"/>
          </w:divBdr>
        </w:div>
        <w:div w:id="816075352">
          <w:marLeft w:val="0"/>
          <w:marRight w:val="0"/>
          <w:marTop w:val="0"/>
          <w:marBottom w:val="0"/>
          <w:divBdr>
            <w:top w:val="none" w:sz="0" w:space="0" w:color="auto"/>
            <w:left w:val="none" w:sz="0" w:space="0" w:color="auto"/>
            <w:bottom w:val="none" w:sz="0" w:space="0" w:color="auto"/>
            <w:right w:val="none" w:sz="0" w:space="0" w:color="auto"/>
          </w:divBdr>
        </w:div>
        <w:div w:id="397049804">
          <w:marLeft w:val="0"/>
          <w:marRight w:val="0"/>
          <w:marTop w:val="0"/>
          <w:marBottom w:val="0"/>
          <w:divBdr>
            <w:top w:val="none" w:sz="0" w:space="0" w:color="auto"/>
            <w:left w:val="none" w:sz="0" w:space="0" w:color="auto"/>
            <w:bottom w:val="none" w:sz="0" w:space="0" w:color="auto"/>
            <w:right w:val="none" w:sz="0" w:space="0" w:color="auto"/>
          </w:divBdr>
        </w:div>
        <w:div w:id="1920559112">
          <w:marLeft w:val="0"/>
          <w:marRight w:val="0"/>
          <w:marTop w:val="0"/>
          <w:marBottom w:val="0"/>
          <w:divBdr>
            <w:top w:val="none" w:sz="0" w:space="0" w:color="auto"/>
            <w:left w:val="none" w:sz="0" w:space="0" w:color="auto"/>
            <w:bottom w:val="none" w:sz="0" w:space="0" w:color="auto"/>
            <w:right w:val="none" w:sz="0" w:space="0" w:color="auto"/>
          </w:divBdr>
        </w:div>
        <w:div w:id="879826761">
          <w:marLeft w:val="0"/>
          <w:marRight w:val="0"/>
          <w:marTop w:val="0"/>
          <w:marBottom w:val="0"/>
          <w:divBdr>
            <w:top w:val="none" w:sz="0" w:space="0" w:color="auto"/>
            <w:left w:val="none" w:sz="0" w:space="0" w:color="auto"/>
            <w:bottom w:val="none" w:sz="0" w:space="0" w:color="auto"/>
            <w:right w:val="none" w:sz="0" w:space="0" w:color="auto"/>
          </w:divBdr>
        </w:div>
        <w:div w:id="1297687080">
          <w:marLeft w:val="0"/>
          <w:marRight w:val="0"/>
          <w:marTop w:val="0"/>
          <w:marBottom w:val="0"/>
          <w:divBdr>
            <w:top w:val="none" w:sz="0" w:space="0" w:color="auto"/>
            <w:left w:val="none" w:sz="0" w:space="0" w:color="auto"/>
            <w:bottom w:val="none" w:sz="0" w:space="0" w:color="auto"/>
            <w:right w:val="none" w:sz="0" w:space="0" w:color="auto"/>
          </w:divBdr>
        </w:div>
      </w:divsChild>
    </w:div>
    <w:div w:id="1991640695">
      <w:bodyDiv w:val="1"/>
      <w:marLeft w:val="0"/>
      <w:marRight w:val="0"/>
      <w:marTop w:val="0"/>
      <w:marBottom w:val="0"/>
      <w:divBdr>
        <w:top w:val="none" w:sz="0" w:space="0" w:color="auto"/>
        <w:left w:val="none" w:sz="0" w:space="0" w:color="auto"/>
        <w:bottom w:val="none" w:sz="0" w:space="0" w:color="auto"/>
        <w:right w:val="none" w:sz="0" w:space="0" w:color="auto"/>
      </w:divBdr>
    </w:div>
    <w:div w:id="2127657220">
      <w:bodyDiv w:val="1"/>
      <w:marLeft w:val="0"/>
      <w:marRight w:val="0"/>
      <w:marTop w:val="0"/>
      <w:marBottom w:val="0"/>
      <w:divBdr>
        <w:top w:val="none" w:sz="0" w:space="0" w:color="auto"/>
        <w:left w:val="none" w:sz="0" w:space="0" w:color="auto"/>
        <w:bottom w:val="none" w:sz="0" w:space="0" w:color="auto"/>
        <w:right w:val="none" w:sz="0" w:space="0" w:color="auto"/>
      </w:divBdr>
    </w:div>
    <w:div w:id="213667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6.xml"/><Relationship Id="rId18" Type="http://schemas.openxmlformats.org/officeDocument/2006/relationships/image" Target="media/image2.png"/><Relationship Id="rId26" Type="http://schemas.openxmlformats.org/officeDocument/2006/relationships/chart" Target="charts/chart17.xml"/><Relationship Id="rId39" Type="http://schemas.openxmlformats.org/officeDocument/2006/relationships/image" Target="media/image11.gif"/><Relationship Id="rId21" Type="http://schemas.openxmlformats.org/officeDocument/2006/relationships/chart" Target="charts/chart12.xml"/><Relationship Id="rId34" Type="http://schemas.openxmlformats.org/officeDocument/2006/relationships/image" Target="media/image6.gif"/><Relationship Id="rId42" Type="http://schemas.openxmlformats.org/officeDocument/2006/relationships/hyperlink" Target="http://www.esf.org/activities/mo-fora/publications.html" TargetMode="External"/><Relationship Id="rId47" Type="http://schemas.openxmlformats.org/officeDocument/2006/relationships/hyperlink" Target="http://www.esf.org/activities/mo-fora/evaluation-ofpublicly-funded-research.html" TargetMode="External"/><Relationship Id="rId50" Type="http://schemas.openxmlformats.org/officeDocument/2006/relationships/hyperlink" Target="http://www.rand.org/about/people/w/wooding_steven.html" TargetMode="External"/><Relationship Id="rId55" Type="http://schemas.openxmlformats.org/officeDocument/2006/relationships/hyperlink" Target="http://thomsonreuters.com/products/ip-science/04_030/using-bibliometrics-a-guide-to-evaluating-research-performance-with-citation-data.pdf" TargetMode="External"/><Relationship Id="rId63" Type="http://schemas.openxmlformats.org/officeDocument/2006/relationships/chart" Target="charts/chart26.xml"/><Relationship Id="rId68" Type="http://schemas.openxmlformats.org/officeDocument/2006/relationships/chart" Target="charts/chart31.xm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chart" Target="charts/chart34.xml"/><Relationship Id="rId2" Type="http://schemas.openxmlformats.org/officeDocument/2006/relationships/numbering" Target="numbering.xml"/><Relationship Id="rId16" Type="http://schemas.openxmlformats.org/officeDocument/2006/relationships/chart" Target="charts/chart9.xml"/><Relationship Id="rId29" Type="http://schemas.openxmlformats.org/officeDocument/2006/relationships/image" Target="media/image4.png"/><Relationship Id="rId11" Type="http://schemas.openxmlformats.org/officeDocument/2006/relationships/chart" Target="charts/chart4.xml"/><Relationship Id="rId24" Type="http://schemas.openxmlformats.org/officeDocument/2006/relationships/chart" Target="charts/chart15.xml"/><Relationship Id="rId32" Type="http://schemas.openxmlformats.org/officeDocument/2006/relationships/chart" Target="charts/chart21.xml"/><Relationship Id="rId37" Type="http://schemas.openxmlformats.org/officeDocument/2006/relationships/image" Target="media/image9.gif"/><Relationship Id="rId40" Type="http://schemas.openxmlformats.org/officeDocument/2006/relationships/image" Target="media/image12.gif"/><Relationship Id="rId45" Type="http://schemas.openxmlformats.org/officeDocument/2006/relationships/hyperlink" Target="http://www.esf.org/activities/mo-fora/evaluation-of-publicly-funded-research.html" TargetMode="External"/><Relationship Id="rId53" Type="http://schemas.openxmlformats.org/officeDocument/2006/relationships/hyperlink" Target="http://halshs.archives-ouvertes.fr/docs/00/57/63/69/PDF/Louvel_Lange_Sciences_de_la_societe_2010.pdf" TargetMode="External"/><Relationship Id="rId58" Type="http://schemas.openxmlformats.org/officeDocument/2006/relationships/hyperlink" Target="http://www.tsu.edu.ge/en/research/institutes_centers/DIfbGbFRVvKrqRRst/" TargetMode="External"/><Relationship Id="rId66" Type="http://schemas.openxmlformats.org/officeDocument/2006/relationships/chart" Target="charts/chart29.xml"/><Relationship Id="rId7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4.xml"/><Relationship Id="rId28" Type="http://schemas.openxmlformats.org/officeDocument/2006/relationships/image" Target="media/image3.png"/><Relationship Id="rId36" Type="http://schemas.openxmlformats.org/officeDocument/2006/relationships/image" Target="media/image8.gif"/><Relationship Id="rId49" Type="http://schemas.openxmlformats.org/officeDocument/2006/relationships/hyperlink" Target="http://www.rand.org/pubs/authors/d/diepeveen_stephanie.html" TargetMode="External"/><Relationship Id="rId57" Type="http://schemas.openxmlformats.org/officeDocument/2006/relationships/hyperlink" Target="http://www.tsu.edu.ge/en/research/institutes_centers/wBPQkNst0d8TWyFON/" TargetMode="External"/><Relationship Id="rId61" Type="http://schemas.openxmlformats.org/officeDocument/2006/relationships/chart" Target="charts/chart24.xml"/><Relationship Id="rId10" Type="http://schemas.openxmlformats.org/officeDocument/2006/relationships/chart" Target="charts/chart3.xml"/><Relationship Id="rId19" Type="http://schemas.openxmlformats.org/officeDocument/2006/relationships/chart" Target="charts/chart10.xml"/><Relationship Id="rId31" Type="http://schemas.openxmlformats.org/officeDocument/2006/relationships/chart" Target="charts/chart20.xml"/><Relationship Id="rId44" Type="http://schemas.openxmlformats.org/officeDocument/2006/relationships/hyperlink" Target="http://www.esf.org/activities/mo-fora/publications.html" TargetMode="External"/><Relationship Id="rId52" Type="http://schemas.openxmlformats.org/officeDocument/2006/relationships/hyperlink" Target="http://www.google.fr/url?sa=t&amp;rct=j&amp;q=&amp;esrc=s&amp;source=web&amp;cd=1&amp;ved=0CDMQFjAA&amp;url=http%3A%2F%2Fwww.hm.ee%2Findex.php%3Fpopup%3Ddownload%26id%3D6175&amp;ei=O2ddU5vbIseyyAOdloC4Bw&amp;usg=AFQjCNEZs5iWSlTW1WjSo5PFAbjsMXNf5A&amp;bvm=bv.65397613,d.Yms" TargetMode="External"/><Relationship Id="rId60" Type="http://schemas.openxmlformats.org/officeDocument/2006/relationships/chart" Target="charts/chart23.xml"/><Relationship Id="rId65" Type="http://schemas.openxmlformats.org/officeDocument/2006/relationships/chart" Target="charts/chart28.xml"/><Relationship Id="rId73" Type="http://schemas.openxmlformats.org/officeDocument/2006/relationships/chart" Target="charts/chart36.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3.xml"/><Relationship Id="rId27" Type="http://schemas.openxmlformats.org/officeDocument/2006/relationships/chart" Target="charts/chart18.xml"/><Relationship Id="rId30" Type="http://schemas.openxmlformats.org/officeDocument/2006/relationships/chart" Target="charts/chart19.xml"/><Relationship Id="rId35" Type="http://schemas.openxmlformats.org/officeDocument/2006/relationships/image" Target="media/image7.gif"/><Relationship Id="rId43" Type="http://schemas.openxmlformats.org/officeDocument/2006/relationships/hyperlink" Target="http://www.esf.org/activities/mo-fora/publications.html" TargetMode="External"/><Relationship Id="rId48" Type="http://schemas.openxmlformats.org/officeDocument/2006/relationships/hyperlink" Target="http://www.rand.org/pubs/authors/w/wamae_watu.html" TargetMode="External"/><Relationship Id="rId56" Type="http://schemas.openxmlformats.org/officeDocument/2006/relationships/hyperlink" Target="http://arxiv.org/ftp/arxiv/papers/1208/1208.6122.pdf" TargetMode="External"/><Relationship Id="rId64" Type="http://schemas.openxmlformats.org/officeDocument/2006/relationships/chart" Target="charts/chart27.xml"/><Relationship Id="rId69" Type="http://schemas.openxmlformats.org/officeDocument/2006/relationships/chart" Target="charts/chart32.xml"/><Relationship Id="rId77" Type="http://schemas.microsoft.com/office/2007/relationships/stylesWithEffects" Target="stylesWithEffects.xml"/><Relationship Id="rId8" Type="http://schemas.openxmlformats.org/officeDocument/2006/relationships/chart" Target="charts/chart1.xml"/><Relationship Id="rId51" Type="http://schemas.openxmlformats.org/officeDocument/2006/relationships/hyperlink" Target="http://www.rand.org/about/people/g/grant_jonathan.html" TargetMode="External"/><Relationship Id="rId72" Type="http://schemas.openxmlformats.org/officeDocument/2006/relationships/chart" Target="charts/chart35.xml"/><Relationship Id="rId3" Type="http://schemas.openxmlformats.org/officeDocument/2006/relationships/styles" Target="styles.xml"/><Relationship Id="rId12" Type="http://schemas.openxmlformats.org/officeDocument/2006/relationships/chart" Target="charts/chart5.xml"/><Relationship Id="rId17" Type="http://schemas.openxmlformats.org/officeDocument/2006/relationships/image" Target="media/image1.png"/><Relationship Id="rId25" Type="http://schemas.openxmlformats.org/officeDocument/2006/relationships/chart" Target="charts/chart16.xml"/><Relationship Id="rId33" Type="http://schemas.openxmlformats.org/officeDocument/2006/relationships/image" Target="media/image5.gif"/><Relationship Id="rId38" Type="http://schemas.openxmlformats.org/officeDocument/2006/relationships/image" Target="media/image10.gif"/><Relationship Id="rId46" Type="http://schemas.openxmlformats.org/officeDocument/2006/relationships/hyperlink" Target="http://www.esf.org/activities/mo-fora/evaluation-ofpublicly-funded-research.html" TargetMode="External"/><Relationship Id="rId59" Type="http://schemas.openxmlformats.org/officeDocument/2006/relationships/chart" Target="charts/chart22.xml"/><Relationship Id="rId67" Type="http://schemas.openxmlformats.org/officeDocument/2006/relationships/chart" Target="charts/chart30.xml"/><Relationship Id="rId20" Type="http://schemas.openxmlformats.org/officeDocument/2006/relationships/chart" Target="charts/chart11.xml"/><Relationship Id="rId41" Type="http://schemas.openxmlformats.org/officeDocument/2006/relationships/hyperlink" Target="http://www.efc.be/programmes_services/resources/Documents/Research_Evaluation_Guidelines_3_How_to_Evaluate.pdf" TargetMode="External"/><Relationship Id="rId54" Type="http://schemas.openxmlformats.org/officeDocument/2006/relationships/hyperlink" Target="http://www.scit.wlv.ac.uk/~cm1993/papers/JIS-0642-v4-Bibliometrics-to-Webometrics.pdf" TargetMode="External"/><Relationship Id="rId62" Type="http://schemas.openxmlformats.org/officeDocument/2006/relationships/chart" Target="charts/chart25.xml"/><Relationship Id="rId70" Type="http://schemas.openxmlformats.org/officeDocument/2006/relationships/chart" Target="charts/chart33.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charts/_rels/chart1.xml.rels><?xml version="1.0" encoding="UTF-8" standalone="yes"?>
<Relationships xmlns="http://schemas.openxmlformats.org/package/2006/relationships"><Relationship Id="rId1" Type="http://schemas.openxmlformats.org/officeDocument/2006/relationships/oleObject" Target="file:///D:\Desktop\Research%20output\SNAPSHOT\Data\Tiko%20SJR.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Desktop\Research%20output\SNAPSHOT\Data\Tiko%20SJR.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D:\Desktop\Thomson%20new.xls" TargetMode="External"/></Relationships>
</file>

<file path=word/charts/_rels/chart1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Desktop\Research%20output\SNAPSHOT\Data\Tiko%20SJR.xlsx" TargetMode="External"/></Relationships>
</file>

<file path=word/charts/_rels/chart13.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D:\Desktop\Research%20output\SNAPSHOT\Data\Tiko%20SJR.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Users\Tamar\AppData\Roaming\Microsoft\Excel\Thomson%20new%20(version%201).xls"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D:\Desktop\Research%20output\SNAPSHOT\Data\Tiko%20SJR.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D:\Desktop\Thomson%20new.xls"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D:\Desktop\Thomson%20new.xls"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D:\Desktop\Thomson%20new.xls"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D:\Desktop\Research%20output\SNAPSHOT\Data\&#4324;&#4317;&#4316;&#4307;&#4312;&#4321;%20&#4315;&#4312;&#4308;&#4320;%20&#4307;&#4304;&#4324;&#4312;&#4316;&#4304;&#4316;&#4321;&#4308;&#4305;&#4323;&#4314;&#4312;%20&#4318;&#4320;&#4317;&#4308;&#4325;&#4322;&#4308;&#4305;&#4312;&#4321;%20&#4321;&#4322;&#4304;&#4322;&#4312;&#4321;&#4322;&#4312;&#4313;&#4304;%20(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D:\Desktop\Research%20output\SNAPSHOT\Data\&#4324;&#4317;&#4316;&#4307;&#4312;&#4321;%20&#4315;&#4312;&#4308;&#4320;%20&#4307;&#4304;&#4324;&#4312;&#4316;&#4304;&#4316;&#4321;&#4308;&#4305;&#4323;&#4314;&#4312;%20&#4318;&#4320;&#4317;&#4308;&#4325;&#4322;&#4308;&#4305;&#4312;&#4321;%20&#4321;&#4322;&#4304;&#4322;&#4312;&#4321;&#4322;&#4312;&#4313;&#4304;%20(1).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D:\Desktop\Research%20output\SNAPSHOT\Data\&#4324;&#4317;&#4316;&#4307;&#4312;&#4321;%20&#4315;&#4312;&#4308;&#4320;%20&#4307;&#4304;&#4324;&#4312;&#4316;&#4304;&#4316;&#4321;&#4308;&#4305;&#4323;&#4314;&#4312;%20&#4318;&#4320;&#4317;&#4308;&#4325;&#4322;&#4308;&#4305;&#4312;&#4321;%20&#4321;&#4322;&#4304;&#4322;&#4312;&#4321;&#4322;&#4312;&#4313;&#4304;%20(1).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D:\Desktop\Research%20output\SNAPSHOT\Data\Tiko%20SJR.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D:\Desktop\Thomson%20new.xls"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D:\Desktop\Research%20output\SNAPSHOT\Data\Tiko%20SJR.xlsx"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D:\Desktop\Thomson%20new.xls"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file:///D:\Desktop\Research%20output\SNAPSHOT\Data\Tiko%20SJR.xlsx" TargetMode="External"/></Relationships>
</file>

<file path=word/charts/_rels/chart27.xml.rels><?xml version="1.0" encoding="UTF-8" standalone="yes"?>
<Relationships xmlns="http://schemas.openxmlformats.org/package/2006/relationships"><Relationship Id="rId1" Type="http://schemas.openxmlformats.org/officeDocument/2006/relationships/oleObject" Target="file:///D:\Desktop\Thomson%20new.xls" TargetMode="External"/></Relationships>
</file>

<file path=word/charts/_rels/chart28.xml.rels><?xml version="1.0" encoding="UTF-8" standalone="yes"?>
<Relationships xmlns="http://schemas.openxmlformats.org/package/2006/relationships"><Relationship Id="rId1" Type="http://schemas.openxmlformats.org/officeDocument/2006/relationships/oleObject" Target="file:///D:\Desktop\Research%20output\SNAPSHOT\Data\Tiko%20SJR.xlsx" TargetMode="External"/></Relationships>
</file>

<file path=word/charts/_rels/chart29.xml.rels><?xml version="1.0" encoding="UTF-8" standalone="yes"?>
<Relationships xmlns="http://schemas.openxmlformats.org/package/2006/relationships"><Relationship Id="rId1" Type="http://schemas.openxmlformats.org/officeDocument/2006/relationships/oleObject" Target="file:///D:\Desktop\Thomson%20new.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Desktop\Research%20output\SNAPSHOT\Data\Tiko%20SJR.xlsx" TargetMode="External"/></Relationships>
</file>

<file path=word/charts/_rels/chart30.xml.rels><?xml version="1.0" encoding="UTF-8" standalone="yes"?>
<Relationships xmlns="http://schemas.openxmlformats.org/package/2006/relationships"><Relationship Id="rId1" Type="http://schemas.openxmlformats.org/officeDocument/2006/relationships/oleObject" Target="file:///C:\Users\Tamar\AppData\Roaming\Microsoft\Excel\Thomson%20new%20(version%201).xls" TargetMode="External"/></Relationships>
</file>

<file path=word/charts/_rels/chart31.xml.rels><?xml version="1.0" encoding="UTF-8" standalone="yes"?>
<Relationships xmlns="http://schemas.openxmlformats.org/package/2006/relationships"><Relationship Id="rId1" Type="http://schemas.openxmlformats.org/officeDocument/2006/relationships/oleObject" Target="file:///C:\Users\Tamar\AppData\Roaming\Microsoft\Excel\Thomson%20new%20(version%201).xls" TargetMode="External"/></Relationships>
</file>

<file path=word/charts/_rels/chart32.xml.rels><?xml version="1.0" encoding="UTF-8" standalone="yes"?>
<Relationships xmlns="http://schemas.openxmlformats.org/package/2006/relationships"><Relationship Id="rId1" Type="http://schemas.openxmlformats.org/officeDocument/2006/relationships/oleObject" Target="file:///D:\Desktop\Research%20output\SNAPSHOT\Data\Tiko%20SJR.xlsx" TargetMode="External"/></Relationships>
</file>

<file path=word/charts/_rels/chart33.xml.rels><?xml version="1.0" encoding="UTF-8" standalone="yes"?>
<Relationships xmlns="http://schemas.openxmlformats.org/package/2006/relationships"><Relationship Id="rId1" Type="http://schemas.openxmlformats.org/officeDocument/2006/relationships/oleObject" Target="file:///C:\Users\Tamar\AppData\Roaming\Microsoft\Excel\Thomson%20new%20(version%201).xls" TargetMode="External"/></Relationships>
</file>

<file path=word/charts/_rels/chart34.xml.rels><?xml version="1.0" encoding="UTF-8" standalone="yes"?>
<Relationships xmlns="http://schemas.openxmlformats.org/package/2006/relationships"><Relationship Id="rId1" Type="http://schemas.openxmlformats.org/officeDocument/2006/relationships/oleObject" Target="file:///D:\Desktop\patentebi.xlsx" TargetMode="External"/></Relationships>
</file>

<file path=word/charts/_rels/chart35.xml.rels><?xml version="1.0" encoding="UTF-8" standalone="yes"?>
<Relationships xmlns="http://schemas.openxmlformats.org/package/2006/relationships"><Relationship Id="rId1" Type="http://schemas.openxmlformats.org/officeDocument/2006/relationships/oleObject" Target="file:///D:\Desktop\patentebi.xlsx" TargetMode="External"/></Relationships>
</file>

<file path=word/charts/_rels/chart36.xml.rels><?xml version="1.0" encoding="UTF-8" standalone="yes"?>
<Relationships xmlns="http://schemas.openxmlformats.org/package/2006/relationships"><Relationship Id="rId1" Type="http://schemas.openxmlformats.org/officeDocument/2006/relationships/oleObject" Target="file:///D:\Desktop\patentebi.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Desktop\Research%20output\SNAPSHOT\Data\Tiko%20SJR.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Desktop\Research%20output\SNAPSHOT\Data\Thomson.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Desktop\Research%20output\SNAPSHOT\Data\Thomson.xls"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Desktop\Research%20output\SNAPSHOT\Data\Tiko%20SJR.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Desktop\Thomson%20new.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barChart>
        <c:barDir val="col"/>
        <c:grouping val="clustered"/>
        <c:ser>
          <c:idx val="0"/>
          <c:order val="0"/>
          <c:tx>
            <c:strRef>
              <c:f>'Total production'!$C$1</c:f>
              <c:strCache>
                <c:ptCount val="1"/>
                <c:pt idx="0">
                  <c:v>Georgia</c:v>
                </c:pt>
              </c:strCache>
            </c:strRef>
          </c:tx>
          <c:dLbls>
            <c:showVal val="1"/>
          </c:dLbls>
          <c:cat>
            <c:numRef>
              <c:f>'Total production'!$A$2:$A$10</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'Total production'!$C$2:$C$10</c:f>
              <c:numCache>
                <c:formatCode>General</c:formatCode>
                <c:ptCount val="9"/>
                <c:pt idx="0">
                  <c:v>442</c:v>
                </c:pt>
                <c:pt idx="1">
                  <c:v>470</c:v>
                </c:pt>
                <c:pt idx="2">
                  <c:v>520</c:v>
                </c:pt>
                <c:pt idx="3">
                  <c:v>448</c:v>
                </c:pt>
                <c:pt idx="4">
                  <c:v>512</c:v>
                </c:pt>
                <c:pt idx="5">
                  <c:v>626</c:v>
                </c:pt>
                <c:pt idx="6">
                  <c:v>559</c:v>
                </c:pt>
                <c:pt idx="7">
                  <c:v>753</c:v>
                </c:pt>
                <c:pt idx="8">
                  <c:v>846</c:v>
                </c:pt>
              </c:numCache>
            </c:numRef>
          </c:val>
        </c:ser>
        <c:dLbls>
          <c:showVal val="1"/>
        </c:dLbls>
        <c:gapWidth val="75"/>
        <c:axId val="68529152"/>
        <c:axId val="115622656"/>
      </c:barChart>
      <c:catAx>
        <c:axId val="68529152"/>
        <c:scaling>
          <c:orientation val="minMax"/>
        </c:scaling>
        <c:axPos val="b"/>
        <c:numFmt formatCode="General" sourceLinked="1"/>
        <c:majorTickMark val="none"/>
        <c:tickLblPos val="nextTo"/>
        <c:txPr>
          <a:bodyPr/>
          <a:lstStyle/>
          <a:p>
            <a:pPr>
              <a:defRPr sz="800"/>
            </a:pPr>
            <a:endParaRPr lang="en-US"/>
          </a:p>
        </c:txPr>
        <c:crossAx val="115622656"/>
        <c:crosses val="autoZero"/>
        <c:auto val="1"/>
        <c:lblAlgn val="ctr"/>
        <c:lblOffset val="100"/>
      </c:catAx>
      <c:valAx>
        <c:axId val="115622656"/>
        <c:scaling>
          <c:orientation val="minMax"/>
        </c:scaling>
        <c:axPos val="l"/>
        <c:title>
          <c:tx>
            <c:rich>
              <a:bodyPr rot="-5400000" vert="horz"/>
              <a:lstStyle/>
              <a:p>
                <a:pPr>
                  <a:defRPr/>
                </a:pPr>
                <a:r>
                  <a:rPr lang="en-US"/>
                  <a:t>Publications</a:t>
                </a:r>
              </a:p>
            </c:rich>
          </c:tx>
        </c:title>
        <c:numFmt formatCode="General" sourceLinked="1"/>
        <c:majorTickMark val="none"/>
        <c:tickLblPos val="nextTo"/>
        <c:crossAx val="68529152"/>
        <c:crosses val="autoZero"/>
        <c:crossBetween val="between"/>
      </c:valAx>
    </c:plotArea>
    <c:plotVisOnly val="1"/>
    <c:dispBlanksAs val="gap"/>
  </c:chart>
  <c:spPr>
    <a:ln>
      <a:noFill/>
    </a:ln>
  </c:sp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31300746497596915"/>
          <c:y val="0.15421048987581601"/>
          <c:w val="0.42095495638802732"/>
          <c:h val="0.69957262536427567"/>
        </c:manualLayout>
      </c:layout>
      <c:radarChart>
        <c:radarStyle val="marker"/>
        <c:ser>
          <c:idx val="0"/>
          <c:order val="0"/>
          <c:tx>
            <c:strRef>
              <c:f>'Production by fields COMP'!$C$101</c:f>
              <c:strCache>
                <c:ptCount val="1"/>
                <c:pt idx="0">
                  <c:v>Georgia</c:v>
                </c:pt>
              </c:strCache>
            </c:strRef>
          </c:tx>
          <c:cat>
            <c:strRef>
              <c:f>'Production by fields COMP'!$B$102:$B$111</c:f>
              <c:strCache>
                <c:ptCount val="10"/>
                <c:pt idx="0">
                  <c:v>Arts and Humanities</c:v>
                </c:pt>
                <c:pt idx="1">
                  <c:v>Engineering and technology</c:v>
                </c:pt>
                <c:pt idx="2">
                  <c:v>Medical and Health sciences</c:v>
                </c:pt>
                <c:pt idx="3">
                  <c:v>Social Sciences</c:v>
                </c:pt>
                <c:pt idx="4">
                  <c:v>Other Natural and agricultural sciences</c:v>
                </c:pt>
                <c:pt idx="5">
                  <c:v>Mathematics</c:v>
                </c:pt>
                <c:pt idx="6">
                  <c:v>Physics and Astronomy</c:v>
                </c:pt>
                <c:pt idx="7">
                  <c:v>Biochemistry, Genetics and Molecular Biology</c:v>
                </c:pt>
                <c:pt idx="8">
                  <c:v>Chemistry</c:v>
                </c:pt>
                <c:pt idx="9">
                  <c:v>Computer Science</c:v>
                </c:pt>
              </c:strCache>
            </c:strRef>
          </c:cat>
          <c:val>
            <c:numRef>
              <c:f>'Production by fields COMP'!$C$102:$C$111</c:f>
              <c:numCache>
                <c:formatCode>0.00</c:formatCode>
                <c:ptCount val="10"/>
                <c:pt idx="0">
                  <c:v>0.56399574905719363</c:v>
                </c:pt>
                <c:pt idx="1">
                  <c:v>0.49244411069015165</c:v>
                </c:pt>
                <c:pt idx="2">
                  <c:v>0.42301478815868704</c:v>
                </c:pt>
                <c:pt idx="3">
                  <c:v>0.47468468859852331</c:v>
                </c:pt>
                <c:pt idx="4">
                  <c:v>1.020951049375187</c:v>
                </c:pt>
                <c:pt idx="5">
                  <c:v>4.3146584657553637</c:v>
                </c:pt>
                <c:pt idx="6">
                  <c:v>4.586069518831982</c:v>
                </c:pt>
                <c:pt idx="7">
                  <c:v>0.55513318945463108</c:v>
                </c:pt>
                <c:pt idx="8">
                  <c:v>0.94311375181645563</c:v>
                </c:pt>
                <c:pt idx="9">
                  <c:v>0.23587866232668839</c:v>
                </c:pt>
              </c:numCache>
            </c:numRef>
          </c:val>
        </c:ser>
        <c:ser>
          <c:idx val="1"/>
          <c:order val="1"/>
          <c:tx>
            <c:strRef>
              <c:f>'Production by fields COMP'!$K$101</c:f>
              <c:strCache>
                <c:ptCount val="1"/>
                <c:pt idx="0">
                  <c:v>World</c:v>
                </c:pt>
              </c:strCache>
            </c:strRef>
          </c:tx>
          <c:marker>
            <c:symbol val="none"/>
          </c:marker>
          <c:cat>
            <c:strRef>
              <c:f>'Production by fields COMP'!$B$102:$B$111</c:f>
              <c:strCache>
                <c:ptCount val="10"/>
                <c:pt idx="0">
                  <c:v>Arts and Humanities</c:v>
                </c:pt>
                <c:pt idx="1">
                  <c:v>Engineering and technology</c:v>
                </c:pt>
                <c:pt idx="2">
                  <c:v>Medical and Health sciences</c:v>
                </c:pt>
                <c:pt idx="3">
                  <c:v>Social Sciences</c:v>
                </c:pt>
                <c:pt idx="4">
                  <c:v>Other Natural and agricultural sciences</c:v>
                </c:pt>
                <c:pt idx="5">
                  <c:v>Mathematics</c:v>
                </c:pt>
                <c:pt idx="6">
                  <c:v>Physics and Astronomy</c:v>
                </c:pt>
                <c:pt idx="7">
                  <c:v>Biochemistry, Genetics and Molecular Biology</c:v>
                </c:pt>
                <c:pt idx="8">
                  <c:v>Chemistry</c:v>
                </c:pt>
                <c:pt idx="9">
                  <c:v>Computer Science</c:v>
                </c:pt>
              </c:strCache>
            </c:strRef>
          </c:cat>
          <c:val>
            <c:numRef>
              <c:f>'Production by fields COMP'!$K$102:$K$111</c:f>
              <c:numCache>
                <c:formatCode>General</c:formatCode>
                <c:ptCount val="10"/>
                <c:pt idx="0">
                  <c:v>1</c:v>
                </c:pt>
                <c:pt idx="1">
                  <c:v>1</c:v>
                </c:pt>
                <c:pt idx="2">
                  <c:v>1</c:v>
                </c:pt>
                <c:pt idx="3">
                  <c:v>1</c:v>
                </c:pt>
                <c:pt idx="4">
                  <c:v>1</c:v>
                </c:pt>
                <c:pt idx="5">
                  <c:v>1</c:v>
                </c:pt>
                <c:pt idx="6">
                  <c:v>1</c:v>
                </c:pt>
                <c:pt idx="7">
                  <c:v>1</c:v>
                </c:pt>
                <c:pt idx="8">
                  <c:v>1</c:v>
                </c:pt>
                <c:pt idx="9">
                  <c:v>1</c:v>
                </c:pt>
              </c:numCache>
            </c:numRef>
          </c:val>
        </c:ser>
        <c:axId val="170998784"/>
        <c:axId val="171004672"/>
      </c:radarChart>
      <c:catAx>
        <c:axId val="170998784"/>
        <c:scaling>
          <c:orientation val="minMax"/>
        </c:scaling>
        <c:axPos val="b"/>
        <c:majorGridlines/>
        <c:tickLblPos val="nextTo"/>
        <c:txPr>
          <a:bodyPr/>
          <a:lstStyle/>
          <a:p>
            <a:pPr>
              <a:defRPr sz="800"/>
            </a:pPr>
            <a:endParaRPr lang="en-US"/>
          </a:p>
        </c:txPr>
        <c:crossAx val="171004672"/>
        <c:crosses val="autoZero"/>
        <c:auto val="1"/>
        <c:lblAlgn val="ctr"/>
        <c:lblOffset val="100"/>
      </c:catAx>
      <c:valAx>
        <c:axId val="171004672"/>
        <c:scaling>
          <c:orientation val="minMax"/>
          <c:max val="5"/>
          <c:min val="-5"/>
        </c:scaling>
        <c:axPos val="l"/>
        <c:majorGridlines/>
        <c:numFmt formatCode="0" sourceLinked="0"/>
        <c:majorTickMark val="cross"/>
        <c:tickLblPos val="nextTo"/>
        <c:crossAx val="170998784"/>
        <c:crosses val="autoZero"/>
        <c:crossBetween val="between"/>
        <c:majorUnit val="2"/>
      </c:valAx>
    </c:plotArea>
    <c:legend>
      <c:legendPos val="r"/>
      <c:layout>
        <c:manualLayout>
          <c:xMode val="edge"/>
          <c:yMode val="edge"/>
          <c:x val="0.67832389595368403"/>
          <c:y val="0.88274497500151838"/>
          <c:w val="0.28607176221616382"/>
          <c:h val="9.1408079131496747E-2"/>
        </c:manualLayout>
      </c:layout>
      <c:txPr>
        <a:bodyPr/>
        <a:lstStyle/>
        <a:p>
          <a:pPr>
            <a:defRPr sz="800"/>
          </a:pPr>
          <a:endParaRPr lang="en-US"/>
        </a:p>
      </c:txPr>
    </c:legend>
    <c:plotVisOnly val="1"/>
    <c:dispBlanksAs val="gap"/>
  </c:chart>
  <c:spPr>
    <a:ln>
      <a:noFill/>
    </a:ln>
  </c:sp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21287302322503798"/>
          <c:y val="0.27630512154567077"/>
          <c:w val="0.30816432872361554"/>
          <c:h val="0.45371851424331122"/>
        </c:manualLayout>
      </c:layout>
      <c:radarChart>
        <c:radarStyle val="marker"/>
        <c:ser>
          <c:idx val="0"/>
          <c:order val="0"/>
          <c:tx>
            <c:strRef>
              <c:f>'2010-2013 structure publica (2'!$F$190</c:f>
              <c:strCache>
                <c:ptCount val="1"/>
                <c:pt idx="0">
                  <c:v>Georgia</c:v>
                </c:pt>
              </c:strCache>
            </c:strRef>
          </c:tx>
          <c:cat>
            <c:strRef>
              <c:f>'2010-2013 structure publica (2'!$A$191:$A$200</c:f>
              <c:strCache>
                <c:ptCount val="10"/>
                <c:pt idx="0">
                  <c:v>Arts and Humanities</c:v>
                </c:pt>
                <c:pt idx="1">
                  <c:v>Engineering and technology</c:v>
                </c:pt>
                <c:pt idx="2">
                  <c:v>Medical and Health sciences</c:v>
                </c:pt>
                <c:pt idx="3">
                  <c:v>Social Sciences</c:v>
                </c:pt>
                <c:pt idx="4">
                  <c:v>Other Natural and Agricultural Science</c:v>
                </c:pt>
                <c:pt idx="5">
                  <c:v>Mathematics</c:v>
                </c:pt>
                <c:pt idx="6">
                  <c:v>Physics and Astronomy</c:v>
                </c:pt>
                <c:pt idx="7">
                  <c:v>Biochemistry, Genetics and Molecular Biology</c:v>
                </c:pt>
                <c:pt idx="8">
                  <c:v>Chemistry</c:v>
                </c:pt>
                <c:pt idx="9">
                  <c:v>Computer Science</c:v>
                </c:pt>
              </c:strCache>
            </c:strRef>
          </c:cat>
          <c:val>
            <c:numRef>
              <c:f>'2010-2013 structure publica (2'!$F$191:$F$200</c:f>
              <c:numCache>
                <c:formatCode>General</c:formatCode>
                <c:ptCount val="10"/>
                <c:pt idx="0">
                  <c:v>0.37893162041857181</c:v>
                </c:pt>
                <c:pt idx="1">
                  <c:v>0.34249447207451034</c:v>
                </c:pt>
                <c:pt idx="2">
                  <c:v>2.1685700313576057</c:v>
                </c:pt>
                <c:pt idx="3">
                  <c:v>0.27221175862646685</c:v>
                </c:pt>
                <c:pt idx="4">
                  <c:v>1.1146253638414962</c:v>
                </c:pt>
                <c:pt idx="5">
                  <c:v>3.2950913808826989</c:v>
                </c:pt>
                <c:pt idx="6">
                  <c:v>4.2818684013145294</c:v>
                </c:pt>
                <c:pt idx="7">
                  <c:v>0.48004313136624166</c:v>
                </c:pt>
                <c:pt idx="8">
                  <c:v>0.48835099983912234</c:v>
                </c:pt>
                <c:pt idx="9">
                  <c:v>0.17759375169643293</c:v>
                </c:pt>
              </c:numCache>
            </c:numRef>
          </c:val>
        </c:ser>
        <c:ser>
          <c:idx val="1"/>
          <c:order val="1"/>
          <c:tx>
            <c:strRef>
              <c:f>'2010-2013 structure publica (2'!$K$190</c:f>
              <c:strCache>
                <c:ptCount val="1"/>
                <c:pt idx="0">
                  <c:v>World</c:v>
                </c:pt>
              </c:strCache>
            </c:strRef>
          </c:tx>
          <c:marker>
            <c:symbol val="none"/>
          </c:marker>
          <c:cat>
            <c:strRef>
              <c:f>'2010-2013 structure publica (2'!$A$191:$A$200</c:f>
              <c:strCache>
                <c:ptCount val="10"/>
                <c:pt idx="0">
                  <c:v>Arts and Humanities</c:v>
                </c:pt>
                <c:pt idx="1">
                  <c:v>Engineering and technology</c:v>
                </c:pt>
                <c:pt idx="2">
                  <c:v>Medical and Health sciences</c:v>
                </c:pt>
                <c:pt idx="3">
                  <c:v>Social Sciences</c:v>
                </c:pt>
                <c:pt idx="4">
                  <c:v>Other Natural and Agricultural Science</c:v>
                </c:pt>
                <c:pt idx="5">
                  <c:v>Mathematics</c:v>
                </c:pt>
                <c:pt idx="6">
                  <c:v>Physics and Astronomy</c:v>
                </c:pt>
                <c:pt idx="7">
                  <c:v>Biochemistry, Genetics and Molecular Biology</c:v>
                </c:pt>
                <c:pt idx="8">
                  <c:v>Chemistry</c:v>
                </c:pt>
                <c:pt idx="9">
                  <c:v>Computer Science</c:v>
                </c:pt>
              </c:strCache>
            </c:strRef>
          </c:cat>
          <c:val>
            <c:numRef>
              <c:f>'2010-2013 structure publica (2'!$K$191:$K$200</c:f>
              <c:numCache>
                <c:formatCode>General</c:formatCode>
                <c:ptCount val="10"/>
                <c:pt idx="0">
                  <c:v>1</c:v>
                </c:pt>
                <c:pt idx="1">
                  <c:v>1</c:v>
                </c:pt>
                <c:pt idx="2">
                  <c:v>1</c:v>
                </c:pt>
                <c:pt idx="3">
                  <c:v>1</c:v>
                </c:pt>
                <c:pt idx="4">
                  <c:v>1</c:v>
                </c:pt>
                <c:pt idx="5">
                  <c:v>1</c:v>
                </c:pt>
                <c:pt idx="6">
                  <c:v>1</c:v>
                </c:pt>
                <c:pt idx="7">
                  <c:v>1</c:v>
                </c:pt>
                <c:pt idx="8">
                  <c:v>1</c:v>
                </c:pt>
                <c:pt idx="9">
                  <c:v>1</c:v>
                </c:pt>
              </c:numCache>
            </c:numRef>
          </c:val>
        </c:ser>
        <c:axId val="171017728"/>
        <c:axId val="171019264"/>
      </c:radarChart>
      <c:catAx>
        <c:axId val="171017728"/>
        <c:scaling>
          <c:orientation val="minMax"/>
        </c:scaling>
        <c:axPos val="b"/>
        <c:majorGridlines/>
        <c:numFmt formatCode="General" sourceLinked="1"/>
        <c:tickLblPos val="nextTo"/>
        <c:txPr>
          <a:bodyPr/>
          <a:lstStyle/>
          <a:p>
            <a:pPr>
              <a:defRPr sz="800"/>
            </a:pPr>
            <a:endParaRPr lang="en-US"/>
          </a:p>
        </c:txPr>
        <c:crossAx val="171019264"/>
        <c:crosses val="autoZero"/>
        <c:lblAlgn val="ctr"/>
        <c:lblOffset val="100"/>
      </c:catAx>
      <c:valAx>
        <c:axId val="171019264"/>
        <c:scaling>
          <c:orientation val="minMax"/>
          <c:min val="-5"/>
        </c:scaling>
        <c:axPos val="l"/>
        <c:majorGridlines/>
        <c:numFmt formatCode="General" sourceLinked="1"/>
        <c:majorTickMark val="cross"/>
        <c:tickLblPos val="nextTo"/>
        <c:crossAx val="171017728"/>
        <c:crosses val="autoZero"/>
        <c:crossBetween val="between"/>
      </c:valAx>
    </c:plotArea>
    <c:plotVisOnly val="1"/>
    <c:dispBlanksAs val="gap"/>
  </c:chart>
  <c:spPr>
    <a:ln>
      <a:noFill/>
    </a:ln>
  </c:sp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barChart>
        <c:barDir val="col"/>
        <c:grouping val="clustered"/>
        <c:ser>
          <c:idx val="0"/>
          <c:order val="0"/>
          <c:tx>
            <c:strRef>
              <c:f>Impact!$B$33</c:f>
              <c:strCache>
                <c:ptCount val="1"/>
                <c:pt idx="0">
                  <c:v>Average CI (2004-2012)</c:v>
                </c:pt>
              </c:strCache>
            </c:strRef>
          </c:tx>
          <c:dPt>
            <c:idx val="5"/>
            <c:spPr>
              <a:solidFill>
                <a:schemeClr val="accent2">
                  <a:lumMod val="50000"/>
                </a:schemeClr>
              </a:solidFill>
            </c:spPr>
          </c:dPt>
          <c:dLbls>
            <c:showVal val="1"/>
          </c:dLbls>
          <c:cat>
            <c:strRef>
              <c:f>Impact!$A$34:$A$43</c:f>
              <c:strCache>
                <c:ptCount val="10"/>
                <c:pt idx="0">
                  <c:v>Belarus</c:v>
                </c:pt>
                <c:pt idx="1">
                  <c:v>Azerbaijan</c:v>
                </c:pt>
                <c:pt idx="2">
                  <c:v>Kazakhstan</c:v>
                </c:pt>
                <c:pt idx="3">
                  <c:v>Ukraine</c:v>
                </c:pt>
                <c:pt idx="4">
                  <c:v>Russia</c:v>
                </c:pt>
                <c:pt idx="5">
                  <c:v>EE</c:v>
                </c:pt>
                <c:pt idx="6">
                  <c:v>Lithuania</c:v>
                </c:pt>
                <c:pt idx="7">
                  <c:v>Georgia</c:v>
                </c:pt>
                <c:pt idx="8">
                  <c:v>Armenia</c:v>
                </c:pt>
                <c:pt idx="9">
                  <c:v>Estonia</c:v>
                </c:pt>
              </c:strCache>
            </c:strRef>
          </c:cat>
          <c:val>
            <c:numRef>
              <c:f>Impact!$B$34:$B$43</c:f>
              <c:numCache>
                <c:formatCode>0.0</c:formatCode>
                <c:ptCount val="10"/>
                <c:pt idx="0">
                  <c:v>0.10542929292929294</c:v>
                </c:pt>
                <c:pt idx="1">
                  <c:v>0.32054924242424254</c:v>
                </c:pt>
                <c:pt idx="2">
                  <c:v>0.4236111111111111</c:v>
                </c:pt>
                <c:pt idx="3">
                  <c:v>0.47143308080808072</c:v>
                </c:pt>
                <c:pt idx="4">
                  <c:v>0.55160984848484884</c:v>
                </c:pt>
                <c:pt idx="5">
                  <c:v>0.66745580808080851</c:v>
                </c:pt>
                <c:pt idx="6">
                  <c:v>0.74589646464646464</c:v>
                </c:pt>
                <c:pt idx="7">
                  <c:v>0.82496843434343436</c:v>
                </c:pt>
                <c:pt idx="8">
                  <c:v>1.0475063131313127</c:v>
                </c:pt>
                <c:pt idx="9">
                  <c:v>1.3776830808080807</c:v>
                </c:pt>
              </c:numCache>
            </c:numRef>
          </c:val>
        </c:ser>
        <c:dLbls>
          <c:showVal val="1"/>
        </c:dLbls>
        <c:gapWidth val="75"/>
        <c:axId val="171050496"/>
        <c:axId val="171052032"/>
      </c:barChart>
      <c:catAx>
        <c:axId val="171050496"/>
        <c:scaling>
          <c:orientation val="minMax"/>
        </c:scaling>
        <c:axPos val="b"/>
        <c:majorTickMark val="none"/>
        <c:tickLblPos val="nextTo"/>
        <c:crossAx val="171052032"/>
        <c:crosses val="autoZero"/>
        <c:auto val="1"/>
        <c:lblAlgn val="ctr"/>
        <c:lblOffset val="100"/>
      </c:catAx>
      <c:valAx>
        <c:axId val="171052032"/>
        <c:scaling>
          <c:orientation val="minMax"/>
          <c:max val="2.5"/>
        </c:scaling>
        <c:axPos val="l"/>
        <c:numFmt formatCode="0.0" sourceLinked="1"/>
        <c:majorTickMark val="none"/>
        <c:tickLblPos val="nextTo"/>
        <c:crossAx val="171050496"/>
        <c:crosses val="autoZero"/>
        <c:crossBetween val="between"/>
      </c:valAx>
    </c:plotArea>
    <c:plotVisOnly val="1"/>
    <c:dispBlanksAs val="gap"/>
  </c:chart>
  <c:spPr>
    <a:ln>
      <a:noFill/>
    </a:ln>
  </c:spPr>
  <c:externalData r:id="rId1"/>
  <c:userShapes r:id="rId2"/>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barChart>
        <c:barDir val="col"/>
        <c:grouping val="clustered"/>
        <c:ser>
          <c:idx val="0"/>
          <c:order val="0"/>
          <c:tx>
            <c:strRef>
              <c:f>Impact!$B$33</c:f>
              <c:strCache>
                <c:ptCount val="1"/>
                <c:pt idx="0">
                  <c:v>Average CI (2004-2012)</c:v>
                </c:pt>
              </c:strCache>
            </c:strRef>
          </c:tx>
          <c:dPt>
            <c:idx val="3"/>
            <c:spPr>
              <a:solidFill>
                <a:schemeClr val="accent2">
                  <a:lumMod val="50000"/>
                </a:schemeClr>
              </a:solidFill>
            </c:spPr>
          </c:dPt>
          <c:dLbls>
            <c:showVal val="1"/>
          </c:dLbls>
          <c:cat>
            <c:strRef>
              <c:f>Impact!$A$46:$A$55</c:f>
              <c:strCache>
                <c:ptCount val="10"/>
                <c:pt idx="0">
                  <c:v>Belarus</c:v>
                </c:pt>
                <c:pt idx="1">
                  <c:v>Kazakhstan</c:v>
                </c:pt>
                <c:pt idx="2">
                  <c:v>Russia</c:v>
                </c:pt>
                <c:pt idx="3">
                  <c:v>EE</c:v>
                </c:pt>
                <c:pt idx="4">
                  <c:v>Ukraine</c:v>
                </c:pt>
                <c:pt idx="5">
                  <c:v>Azerbaijan</c:v>
                </c:pt>
                <c:pt idx="6">
                  <c:v>Lithuania</c:v>
                </c:pt>
                <c:pt idx="7">
                  <c:v>Estonia</c:v>
                </c:pt>
                <c:pt idx="8">
                  <c:v>Armenia</c:v>
                </c:pt>
                <c:pt idx="9">
                  <c:v>Georgia</c:v>
                </c:pt>
              </c:strCache>
            </c:strRef>
          </c:cat>
          <c:val>
            <c:numRef>
              <c:f>Impact!$B$46:$B$55</c:f>
              <c:numCache>
                <c:formatCode>0.0</c:formatCode>
                <c:ptCount val="10"/>
                <c:pt idx="0">
                  <c:v>0.22857142857142868</c:v>
                </c:pt>
                <c:pt idx="1">
                  <c:v>0.4457142857142859</c:v>
                </c:pt>
                <c:pt idx="2">
                  <c:v>0.64571428571428569</c:v>
                </c:pt>
                <c:pt idx="3">
                  <c:v>0.74857142857142878</c:v>
                </c:pt>
                <c:pt idx="4">
                  <c:v>0.77714285714285758</c:v>
                </c:pt>
                <c:pt idx="5">
                  <c:v>0.88571428571428557</c:v>
                </c:pt>
                <c:pt idx="6">
                  <c:v>1.0685714285714287</c:v>
                </c:pt>
                <c:pt idx="7">
                  <c:v>1.6857142857142853</c:v>
                </c:pt>
                <c:pt idx="8">
                  <c:v>1.9771428571428571</c:v>
                </c:pt>
                <c:pt idx="9">
                  <c:v>2.1028571428571432</c:v>
                </c:pt>
              </c:numCache>
            </c:numRef>
          </c:val>
        </c:ser>
        <c:dLbls>
          <c:showVal val="1"/>
        </c:dLbls>
        <c:gapWidth val="75"/>
        <c:axId val="171068032"/>
        <c:axId val="171078016"/>
      </c:barChart>
      <c:catAx>
        <c:axId val="171068032"/>
        <c:scaling>
          <c:orientation val="minMax"/>
        </c:scaling>
        <c:axPos val="b"/>
        <c:majorTickMark val="none"/>
        <c:tickLblPos val="nextTo"/>
        <c:crossAx val="171078016"/>
        <c:crosses val="autoZero"/>
        <c:auto val="1"/>
        <c:lblAlgn val="ctr"/>
        <c:lblOffset val="100"/>
      </c:catAx>
      <c:valAx>
        <c:axId val="171078016"/>
        <c:scaling>
          <c:orientation val="minMax"/>
        </c:scaling>
        <c:axPos val="l"/>
        <c:numFmt formatCode="0.0" sourceLinked="1"/>
        <c:majorTickMark val="none"/>
        <c:tickLblPos val="nextTo"/>
        <c:crossAx val="171068032"/>
        <c:crosses val="autoZero"/>
        <c:crossBetween val="between"/>
      </c:valAx>
    </c:plotArea>
    <c:plotVisOnly val="1"/>
    <c:dispBlanksAs val="gap"/>
  </c:chart>
  <c:spPr>
    <a:ln>
      <a:noFill/>
    </a:ln>
  </c:spPr>
  <c:externalData r:id="rId1"/>
  <c:userShapes r:id="rId2"/>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barChart>
        <c:barDir val="col"/>
        <c:grouping val="clustered"/>
        <c:ser>
          <c:idx val="0"/>
          <c:order val="0"/>
          <c:tx>
            <c:strRef>
              <c:f>'CI 2010-2013'!$A$8</c:f>
              <c:strCache>
                <c:ptCount val="1"/>
                <c:pt idx="0">
                  <c:v>Average Citations per Item (Citation index)  :</c:v>
                </c:pt>
              </c:strCache>
            </c:strRef>
          </c:tx>
          <c:cat>
            <c:strRef>
              <c:f>'CI 2010-2013'!$B$7:$H$7</c:f>
              <c:strCache>
                <c:ptCount val="7"/>
                <c:pt idx="0">
                  <c:v>Belarus</c:v>
                </c:pt>
                <c:pt idx="1">
                  <c:v>Georgia</c:v>
                </c:pt>
                <c:pt idx="2">
                  <c:v>Armenia</c:v>
                </c:pt>
                <c:pt idx="3">
                  <c:v>Azerbaijan</c:v>
                </c:pt>
                <c:pt idx="4">
                  <c:v>Latvia</c:v>
                </c:pt>
                <c:pt idx="5">
                  <c:v>Estonia</c:v>
                </c:pt>
                <c:pt idx="6">
                  <c:v>Lithuania</c:v>
                </c:pt>
              </c:strCache>
            </c:strRef>
          </c:cat>
          <c:val>
            <c:numRef>
              <c:f>'CI 2010-2013'!$B$8:$H$8</c:f>
              <c:numCache>
                <c:formatCode>General</c:formatCode>
                <c:ptCount val="7"/>
                <c:pt idx="0">
                  <c:v>4.26</c:v>
                </c:pt>
                <c:pt idx="1">
                  <c:v>8.3800000000000008</c:v>
                </c:pt>
                <c:pt idx="2">
                  <c:v>6.7700000000000014</c:v>
                </c:pt>
                <c:pt idx="3">
                  <c:v>4.17</c:v>
                </c:pt>
                <c:pt idx="4">
                  <c:v>3.6</c:v>
                </c:pt>
                <c:pt idx="5">
                  <c:v>5.94</c:v>
                </c:pt>
                <c:pt idx="6">
                  <c:v>3.36</c:v>
                </c:pt>
              </c:numCache>
            </c:numRef>
          </c:val>
        </c:ser>
        <c:gapWidth val="75"/>
        <c:overlap val="-25"/>
        <c:axId val="171386752"/>
        <c:axId val="171388288"/>
      </c:barChart>
      <c:lineChart>
        <c:grouping val="standard"/>
        <c:ser>
          <c:idx val="1"/>
          <c:order val="1"/>
          <c:tx>
            <c:strRef>
              <c:f>'CI 2010-2013'!$A$9</c:f>
              <c:strCache>
                <c:ptCount val="1"/>
                <c:pt idx="0">
                  <c:v>h-index :</c:v>
                </c:pt>
              </c:strCache>
            </c:strRef>
          </c:tx>
          <c:marker>
            <c:symbol val="none"/>
          </c:marker>
          <c:cat>
            <c:strRef>
              <c:f>'CI 2010-2013'!$B$7:$H$7</c:f>
              <c:strCache>
                <c:ptCount val="7"/>
                <c:pt idx="0">
                  <c:v>Belarus</c:v>
                </c:pt>
                <c:pt idx="1">
                  <c:v>Georgia</c:v>
                </c:pt>
                <c:pt idx="2">
                  <c:v>Armenia</c:v>
                </c:pt>
                <c:pt idx="3">
                  <c:v>Azerbaijan</c:v>
                </c:pt>
                <c:pt idx="4">
                  <c:v>Latvia</c:v>
                </c:pt>
                <c:pt idx="5">
                  <c:v>Estonia</c:v>
                </c:pt>
                <c:pt idx="6">
                  <c:v>Lithuania</c:v>
                </c:pt>
              </c:strCache>
            </c:strRef>
          </c:cat>
          <c:val>
            <c:numRef>
              <c:f>'CI 2010-2013'!$B$9:$H$9</c:f>
              <c:numCache>
                <c:formatCode>General</c:formatCode>
                <c:ptCount val="7"/>
                <c:pt idx="0">
                  <c:v>34</c:v>
                </c:pt>
                <c:pt idx="1">
                  <c:v>49</c:v>
                </c:pt>
                <c:pt idx="2">
                  <c:v>51</c:v>
                </c:pt>
                <c:pt idx="3">
                  <c:v>36</c:v>
                </c:pt>
                <c:pt idx="4">
                  <c:v>31</c:v>
                </c:pt>
                <c:pt idx="5">
                  <c:v>61</c:v>
                </c:pt>
                <c:pt idx="6">
                  <c:v>51</c:v>
                </c:pt>
              </c:numCache>
            </c:numRef>
          </c:val>
        </c:ser>
        <c:marker val="1"/>
        <c:axId val="171396480"/>
        <c:axId val="171394560"/>
      </c:lineChart>
      <c:catAx>
        <c:axId val="171386752"/>
        <c:scaling>
          <c:orientation val="minMax"/>
        </c:scaling>
        <c:axPos val="b"/>
        <c:majorTickMark val="none"/>
        <c:tickLblPos val="nextTo"/>
        <c:crossAx val="171388288"/>
        <c:crosses val="autoZero"/>
        <c:auto val="1"/>
        <c:lblAlgn val="ctr"/>
        <c:lblOffset val="100"/>
      </c:catAx>
      <c:valAx>
        <c:axId val="171388288"/>
        <c:scaling>
          <c:orientation val="minMax"/>
        </c:scaling>
        <c:axPos val="l"/>
        <c:majorGridlines/>
        <c:title>
          <c:tx>
            <c:rich>
              <a:bodyPr rot="-5400000" vert="horz"/>
              <a:lstStyle/>
              <a:p>
                <a:pPr>
                  <a:defRPr/>
                </a:pPr>
                <a:r>
                  <a:rPr lang="en-US"/>
                  <a:t>Average</a:t>
                </a:r>
                <a:r>
                  <a:rPr lang="en-US" baseline="0"/>
                  <a:t> </a:t>
                </a:r>
                <a:r>
                  <a:rPr lang="en-US"/>
                  <a:t>Citations</a:t>
                </a:r>
                <a:r>
                  <a:rPr lang="en-US" baseline="0"/>
                  <a:t> per article</a:t>
                </a:r>
                <a:endParaRPr lang="en-US"/>
              </a:p>
            </c:rich>
          </c:tx>
        </c:title>
        <c:numFmt formatCode="General" sourceLinked="1"/>
        <c:majorTickMark val="none"/>
        <c:tickLblPos val="nextTo"/>
        <c:spPr>
          <a:ln w="9525">
            <a:noFill/>
          </a:ln>
        </c:spPr>
        <c:crossAx val="171386752"/>
        <c:crosses val="autoZero"/>
        <c:crossBetween val="between"/>
      </c:valAx>
      <c:valAx>
        <c:axId val="171394560"/>
        <c:scaling>
          <c:orientation val="minMax"/>
        </c:scaling>
        <c:axPos val="r"/>
        <c:title>
          <c:tx>
            <c:rich>
              <a:bodyPr rot="-5400000" vert="horz"/>
              <a:lstStyle/>
              <a:p>
                <a:pPr>
                  <a:defRPr/>
                </a:pPr>
                <a:r>
                  <a:rPr lang="en-US"/>
                  <a:t>H index</a:t>
                </a:r>
              </a:p>
            </c:rich>
          </c:tx>
        </c:title>
        <c:numFmt formatCode="General" sourceLinked="1"/>
        <c:tickLblPos val="nextTo"/>
        <c:crossAx val="171396480"/>
        <c:crosses val="max"/>
        <c:crossBetween val="between"/>
      </c:valAx>
      <c:catAx>
        <c:axId val="171396480"/>
        <c:scaling>
          <c:orientation val="minMax"/>
        </c:scaling>
        <c:delete val="1"/>
        <c:axPos val="b"/>
        <c:tickLblPos val="nextTo"/>
        <c:crossAx val="171394560"/>
        <c:crosses val="autoZero"/>
        <c:auto val="1"/>
        <c:lblAlgn val="ctr"/>
        <c:lblOffset val="100"/>
      </c:catAx>
    </c:plotArea>
    <c:legend>
      <c:legendPos val="b"/>
    </c:legend>
    <c:plotVisOnly val="1"/>
    <c:dispBlanksAs val="gap"/>
  </c:chart>
  <c:spPr>
    <a:ln>
      <a:noFill/>
    </a:ln>
  </c:sp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clustered"/>
        <c:ser>
          <c:idx val="0"/>
          <c:order val="0"/>
          <c:tx>
            <c:strRef>
              <c:f>'Impactmajor fields'!$A$181</c:f>
              <c:strCache>
                <c:ptCount val="1"/>
                <c:pt idx="0">
                  <c:v>Physics and astronomy</c:v>
                </c:pt>
              </c:strCache>
            </c:strRef>
          </c:tx>
          <c:dLbls>
            <c:showVal val="1"/>
          </c:dLbls>
          <c:cat>
            <c:strRef>
              <c:f>'Impactmajor fields'!$B$180:$J$180</c:f>
              <c:strCache>
                <c:ptCount val="9"/>
                <c:pt idx="0">
                  <c:v>Georgia</c:v>
                </c:pt>
                <c:pt idx="1">
                  <c:v>Armenia</c:v>
                </c:pt>
                <c:pt idx="2">
                  <c:v>Azerbaijan</c:v>
                </c:pt>
                <c:pt idx="3">
                  <c:v>Belarus</c:v>
                </c:pt>
                <c:pt idx="4">
                  <c:v>Ukraine</c:v>
                </c:pt>
                <c:pt idx="5">
                  <c:v>Russian Federation</c:v>
                </c:pt>
                <c:pt idx="6">
                  <c:v>Estonia</c:v>
                </c:pt>
                <c:pt idx="7">
                  <c:v>Lithuania</c:v>
                </c:pt>
                <c:pt idx="8">
                  <c:v>Latvia</c:v>
                </c:pt>
              </c:strCache>
            </c:strRef>
          </c:cat>
          <c:val>
            <c:numRef>
              <c:f>'Impactmajor fields'!$B$181:$J$181</c:f>
              <c:numCache>
                <c:formatCode>0</c:formatCode>
                <c:ptCount val="9"/>
                <c:pt idx="0">
                  <c:v>8.8650000000000038</c:v>
                </c:pt>
                <c:pt idx="1">
                  <c:v>7.1386666666666674</c:v>
                </c:pt>
                <c:pt idx="2">
                  <c:v>4.8696666666666664</c:v>
                </c:pt>
                <c:pt idx="3">
                  <c:v>4.8646666666666665</c:v>
                </c:pt>
                <c:pt idx="4">
                  <c:v>2.0156666666666667</c:v>
                </c:pt>
                <c:pt idx="5">
                  <c:v>1.8393333333333335</c:v>
                </c:pt>
                <c:pt idx="6">
                  <c:v>6.0643333333333329</c:v>
                </c:pt>
                <c:pt idx="7">
                  <c:v>3.7759999999999998</c:v>
                </c:pt>
                <c:pt idx="8">
                  <c:v>1.1616666666666668</c:v>
                </c:pt>
              </c:numCache>
            </c:numRef>
          </c:val>
        </c:ser>
        <c:ser>
          <c:idx val="1"/>
          <c:order val="1"/>
          <c:tx>
            <c:strRef>
              <c:f>'Impactmajor fields'!$A$182</c:f>
              <c:strCache>
                <c:ptCount val="1"/>
                <c:pt idx="0">
                  <c:v>Math </c:v>
                </c:pt>
              </c:strCache>
            </c:strRef>
          </c:tx>
          <c:dLbls>
            <c:showVal val="1"/>
          </c:dLbls>
          <c:cat>
            <c:strRef>
              <c:f>'Impactmajor fields'!$B$180:$J$180</c:f>
              <c:strCache>
                <c:ptCount val="9"/>
                <c:pt idx="0">
                  <c:v>Georgia</c:v>
                </c:pt>
                <c:pt idx="1">
                  <c:v>Armenia</c:v>
                </c:pt>
                <c:pt idx="2">
                  <c:v>Azerbaijan</c:v>
                </c:pt>
                <c:pt idx="3">
                  <c:v>Belarus</c:v>
                </c:pt>
                <c:pt idx="4">
                  <c:v>Ukraine</c:v>
                </c:pt>
                <c:pt idx="5">
                  <c:v>Russian Federation</c:v>
                </c:pt>
                <c:pt idx="6">
                  <c:v>Estonia</c:v>
                </c:pt>
                <c:pt idx="7">
                  <c:v>Lithuania</c:v>
                </c:pt>
                <c:pt idx="8">
                  <c:v>Latvia</c:v>
                </c:pt>
              </c:strCache>
            </c:strRef>
          </c:cat>
          <c:val>
            <c:numRef>
              <c:f>'Impactmajor fields'!$B$182:$J$182</c:f>
              <c:numCache>
                <c:formatCode>0</c:formatCode>
                <c:ptCount val="9"/>
                <c:pt idx="0">
                  <c:v>2.5089999999999999</c:v>
                </c:pt>
                <c:pt idx="1">
                  <c:v>3.4509999999999996</c:v>
                </c:pt>
                <c:pt idx="2">
                  <c:v>1.4893333333333334</c:v>
                </c:pt>
                <c:pt idx="3">
                  <c:v>2.0319999999999991</c:v>
                </c:pt>
                <c:pt idx="4">
                  <c:v>1.0283333333333333</c:v>
                </c:pt>
                <c:pt idx="5">
                  <c:v>1.1006666666666667</c:v>
                </c:pt>
                <c:pt idx="6">
                  <c:v>4.2004999999999999</c:v>
                </c:pt>
                <c:pt idx="7">
                  <c:v>1.8463333333333336</c:v>
                </c:pt>
                <c:pt idx="8">
                  <c:v>0.70866666666666667</c:v>
                </c:pt>
              </c:numCache>
            </c:numRef>
          </c:val>
        </c:ser>
        <c:ser>
          <c:idx val="2"/>
          <c:order val="2"/>
          <c:tx>
            <c:strRef>
              <c:f>'Impactmajor fields'!$A$183</c:f>
              <c:strCache>
                <c:ptCount val="1"/>
                <c:pt idx="0">
                  <c:v>Biochemistry </c:v>
                </c:pt>
              </c:strCache>
            </c:strRef>
          </c:tx>
          <c:dLbls>
            <c:showVal val="1"/>
          </c:dLbls>
          <c:cat>
            <c:strRef>
              <c:f>'Impactmajor fields'!$B$180:$J$180</c:f>
              <c:strCache>
                <c:ptCount val="9"/>
                <c:pt idx="0">
                  <c:v>Georgia</c:v>
                </c:pt>
                <c:pt idx="1">
                  <c:v>Armenia</c:v>
                </c:pt>
                <c:pt idx="2">
                  <c:v>Azerbaijan</c:v>
                </c:pt>
                <c:pt idx="3">
                  <c:v>Belarus</c:v>
                </c:pt>
                <c:pt idx="4">
                  <c:v>Ukraine</c:v>
                </c:pt>
                <c:pt idx="5">
                  <c:v>Russian Federation</c:v>
                </c:pt>
                <c:pt idx="6">
                  <c:v>Estonia</c:v>
                </c:pt>
                <c:pt idx="7">
                  <c:v>Lithuania</c:v>
                </c:pt>
                <c:pt idx="8">
                  <c:v>Latvia</c:v>
                </c:pt>
              </c:strCache>
            </c:strRef>
          </c:cat>
          <c:val>
            <c:numRef>
              <c:f>'Impactmajor fields'!$B$183:$J$183</c:f>
              <c:numCache>
                <c:formatCode>0</c:formatCode>
                <c:ptCount val="9"/>
                <c:pt idx="0">
                  <c:v>2.5656666666666665</c:v>
                </c:pt>
                <c:pt idx="1">
                  <c:v>1.4503333333333333</c:v>
                </c:pt>
                <c:pt idx="2">
                  <c:v>1.0326666666666666</c:v>
                </c:pt>
                <c:pt idx="3">
                  <c:v>2.0956666666666668</c:v>
                </c:pt>
                <c:pt idx="4">
                  <c:v>1.6153333333333333</c:v>
                </c:pt>
                <c:pt idx="5">
                  <c:v>1.5726666666666667</c:v>
                </c:pt>
                <c:pt idx="6">
                  <c:v>5.6116666666666672</c:v>
                </c:pt>
                <c:pt idx="7">
                  <c:v>4.4409999999999998</c:v>
                </c:pt>
                <c:pt idx="8">
                  <c:v>3.4293333333333331</c:v>
                </c:pt>
              </c:numCache>
            </c:numRef>
          </c:val>
        </c:ser>
        <c:ser>
          <c:idx val="3"/>
          <c:order val="3"/>
          <c:tx>
            <c:strRef>
              <c:f>'Impactmajor fields'!$A$184</c:f>
              <c:strCache>
                <c:ptCount val="1"/>
                <c:pt idx="0">
                  <c:v>Engineering</c:v>
                </c:pt>
              </c:strCache>
            </c:strRef>
          </c:tx>
          <c:dLbls>
            <c:showVal val="1"/>
          </c:dLbls>
          <c:cat>
            <c:strRef>
              <c:f>'Impactmajor fields'!$B$180:$J$180</c:f>
              <c:strCache>
                <c:ptCount val="9"/>
                <c:pt idx="0">
                  <c:v>Georgia</c:v>
                </c:pt>
                <c:pt idx="1">
                  <c:v>Armenia</c:v>
                </c:pt>
                <c:pt idx="2">
                  <c:v>Azerbaijan</c:v>
                </c:pt>
                <c:pt idx="3">
                  <c:v>Belarus</c:v>
                </c:pt>
                <c:pt idx="4">
                  <c:v>Ukraine</c:v>
                </c:pt>
                <c:pt idx="5">
                  <c:v>Russian Federation</c:v>
                </c:pt>
                <c:pt idx="6">
                  <c:v>Estonia</c:v>
                </c:pt>
                <c:pt idx="7">
                  <c:v>Lithuania</c:v>
                </c:pt>
                <c:pt idx="8">
                  <c:v>Latvia</c:v>
                </c:pt>
              </c:strCache>
            </c:strRef>
          </c:cat>
          <c:val>
            <c:numRef>
              <c:f>'Impactmajor fields'!$B$184:$J$184</c:f>
              <c:numCache>
                <c:formatCode>0</c:formatCode>
                <c:ptCount val="9"/>
                <c:pt idx="0">
                  <c:v>0.58666666666666656</c:v>
                </c:pt>
                <c:pt idx="1">
                  <c:v>0.44533333333333325</c:v>
                </c:pt>
                <c:pt idx="2">
                  <c:v>0.37800000000000011</c:v>
                </c:pt>
                <c:pt idx="3">
                  <c:v>0.54966666666666653</c:v>
                </c:pt>
                <c:pt idx="4">
                  <c:v>0.54</c:v>
                </c:pt>
                <c:pt idx="5">
                  <c:v>0.56366666666666654</c:v>
                </c:pt>
                <c:pt idx="6">
                  <c:v>1.4693333333333334</c:v>
                </c:pt>
                <c:pt idx="7">
                  <c:v>1.3186666666666667</c:v>
                </c:pt>
                <c:pt idx="8">
                  <c:v>1.3186666666666667</c:v>
                </c:pt>
              </c:numCache>
            </c:numRef>
          </c:val>
        </c:ser>
        <c:ser>
          <c:idx val="4"/>
          <c:order val="4"/>
          <c:tx>
            <c:strRef>
              <c:f>'Impactmajor fields'!$A$185</c:f>
              <c:strCache>
                <c:ptCount val="1"/>
                <c:pt idx="0">
                  <c:v>Medicine</c:v>
                </c:pt>
              </c:strCache>
            </c:strRef>
          </c:tx>
          <c:dLbls>
            <c:showVal val="1"/>
          </c:dLbls>
          <c:cat>
            <c:strRef>
              <c:f>'Impactmajor fields'!$B$180:$J$180</c:f>
              <c:strCache>
                <c:ptCount val="9"/>
                <c:pt idx="0">
                  <c:v>Georgia</c:v>
                </c:pt>
                <c:pt idx="1">
                  <c:v>Armenia</c:v>
                </c:pt>
                <c:pt idx="2">
                  <c:v>Azerbaijan</c:v>
                </c:pt>
                <c:pt idx="3">
                  <c:v>Belarus</c:v>
                </c:pt>
                <c:pt idx="4">
                  <c:v>Ukraine</c:v>
                </c:pt>
                <c:pt idx="5">
                  <c:v>Russian Federation</c:v>
                </c:pt>
                <c:pt idx="6">
                  <c:v>Estonia</c:v>
                </c:pt>
                <c:pt idx="7">
                  <c:v>Lithuania</c:v>
                </c:pt>
                <c:pt idx="8">
                  <c:v>Latvia</c:v>
                </c:pt>
              </c:strCache>
            </c:strRef>
          </c:cat>
          <c:val>
            <c:numRef>
              <c:f>'Impactmajor fields'!$B$185:$J$185</c:f>
              <c:numCache>
                <c:formatCode>0</c:formatCode>
                <c:ptCount val="9"/>
                <c:pt idx="0">
                  <c:v>1</c:v>
                </c:pt>
                <c:pt idx="1">
                  <c:v>1</c:v>
                </c:pt>
                <c:pt idx="2">
                  <c:v>3</c:v>
                </c:pt>
                <c:pt idx="3">
                  <c:v>3</c:v>
                </c:pt>
                <c:pt idx="4">
                  <c:v>5</c:v>
                </c:pt>
                <c:pt idx="5">
                  <c:v>2</c:v>
                </c:pt>
                <c:pt idx="6">
                  <c:v>1</c:v>
                </c:pt>
                <c:pt idx="7">
                  <c:v>3</c:v>
                </c:pt>
                <c:pt idx="8">
                  <c:v>2</c:v>
                </c:pt>
              </c:numCache>
            </c:numRef>
          </c:val>
        </c:ser>
        <c:dLbls>
          <c:showVal val="1"/>
        </c:dLbls>
        <c:gapWidth val="75"/>
        <c:axId val="131411968"/>
        <c:axId val="131413504"/>
      </c:barChart>
      <c:catAx>
        <c:axId val="131411968"/>
        <c:scaling>
          <c:orientation val="minMax"/>
        </c:scaling>
        <c:axPos val="b"/>
        <c:majorTickMark val="none"/>
        <c:tickLblPos val="nextTo"/>
        <c:crossAx val="131413504"/>
        <c:crosses val="autoZero"/>
        <c:auto val="1"/>
        <c:lblAlgn val="ctr"/>
        <c:lblOffset val="100"/>
      </c:catAx>
      <c:valAx>
        <c:axId val="131413504"/>
        <c:scaling>
          <c:orientation val="minMax"/>
        </c:scaling>
        <c:delete val="1"/>
        <c:axPos val="l"/>
        <c:numFmt formatCode="0" sourceLinked="1"/>
        <c:majorTickMark val="none"/>
        <c:tickLblPos val="nextTo"/>
        <c:crossAx val="131411968"/>
        <c:crosses val="autoZero"/>
        <c:crossBetween val="between"/>
      </c:valAx>
    </c:plotArea>
    <c:legend>
      <c:legendPos val="b"/>
    </c:legend>
    <c:plotVisOnly val="1"/>
    <c:dispBlanksAs val="gap"/>
  </c:chart>
  <c:spPr>
    <a:ln>
      <a:noFill/>
    </a:ln>
  </c:sp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en-US"/>
  <c:chart>
    <c:plotArea>
      <c:layout/>
      <c:lineChart>
        <c:grouping val="standard"/>
        <c:ser>
          <c:idx val="0"/>
          <c:order val="0"/>
          <c:tx>
            <c:strRef>
              <c:f>'COoperation networking'!$A$3</c:f>
              <c:strCache>
                <c:ptCount val="1"/>
                <c:pt idx="0">
                  <c:v>Partner countries</c:v>
                </c:pt>
              </c:strCache>
            </c:strRef>
          </c:tx>
          <c:marker>
            <c:symbol val="none"/>
          </c:marker>
          <c:cat>
            <c:numRef>
              <c:f>'COoperation networking'!$B$2:$S$2</c:f>
              <c:numCache>
                <c:formatCode>General</c:formatCode>
                <c:ptCount val="18"/>
                <c:pt idx="0">
                  <c:v>1996</c:v>
                </c:pt>
                <c:pt idx="1">
                  <c:v>1997</c:v>
                </c:pt>
                <c:pt idx="2">
                  <c:v>1998</c:v>
                </c:pt>
                <c:pt idx="3">
                  <c:v>1999</c:v>
                </c:pt>
                <c:pt idx="4">
                  <c:v>2000</c:v>
                </c:pt>
                <c:pt idx="5">
                  <c:v>2001</c:v>
                </c:pt>
                <c:pt idx="6">
                  <c:v>2002</c:v>
                </c:pt>
                <c:pt idx="7">
                  <c:v>2003</c:v>
                </c:pt>
                <c:pt idx="8">
                  <c:v>2004</c:v>
                </c:pt>
                <c:pt idx="9">
                  <c:v>2005</c:v>
                </c:pt>
                <c:pt idx="10">
                  <c:v>2006</c:v>
                </c:pt>
                <c:pt idx="11">
                  <c:v>2007</c:v>
                </c:pt>
                <c:pt idx="12">
                  <c:v>2008</c:v>
                </c:pt>
                <c:pt idx="13">
                  <c:v>2009</c:v>
                </c:pt>
                <c:pt idx="14">
                  <c:v>2010</c:v>
                </c:pt>
                <c:pt idx="15">
                  <c:v>2011</c:v>
                </c:pt>
                <c:pt idx="16">
                  <c:v>2012</c:v>
                </c:pt>
                <c:pt idx="17">
                  <c:v>2013</c:v>
                </c:pt>
              </c:numCache>
            </c:numRef>
          </c:cat>
          <c:val>
            <c:numRef>
              <c:f>'COoperation networking'!$B$3:$S$3</c:f>
              <c:numCache>
                <c:formatCode>General</c:formatCode>
                <c:ptCount val="18"/>
                <c:pt idx="0">
                  <c:v>18</c:v>
                </c:pt>
                <c:pt idx="1">
                  <c:v>20</c:v>
                </c:pt>
                <c:pt idx="2">
                  <c:v>23</c:v>
                </c:pt>
                <c:pt idx="3">
                  <c:v>28</c:v>
                </c:pt>
                <c:pt idx="4">
                  <c:v>28</c:v>
                </c:pt>
                <c:pt idx="5">
                  <c:v>28</c:v>
                </c:pt>
                <c:pt idx="6">
                  <c:v>32</c:v>
                </c:pt>
                <c:pt idx="7">
                  <c:v>37</c:v>
                </c:pt>
                <c:pt idx="8">
                  <c:v>30</c:v>
                </c:pt>
                <c:pt idx="9">
                  <c:v>41</c:v>
                </c:pt>
                <c:pt idx="10">
                  <c:v>41</c:v>
                </c:pt>
                <c:pt idx="11">
                  <c:v>38</c:v>
                </c:pt>
                <c:pt idx="12">
                  <c:v>33</c:v>
                </c:pt>
                <c:pt idx="13">
                  <c:v>43</c:v>
                </c:pt>
                <c:pt idx="14">
                  <c:v>59</c:v>
                </c:pt>
                <c:pt idx="15">
                  <c:v>58</c:v>
                </c:pt>
                <c:pt idx="16">
                  <c:v>73</c:v>
                </c:pt>
                <c:pt idx="17">
                  <c:v>68</c:v>
                </c:pt>
              </c:numCache>
            </c:numRef>
          </c:val>
        </c:ser>
        <c:ser>
          <c:idx val="1"/>
          <c:order val="1"/>
          <c:tx>
            <c:strRef>
              <c:f>'COoperation networking'!$A$4</c:f>
              <c:strCache>
                <c:ptCount val="1"/>
                <c:pt idx="0">
                  <c:v>Partner institutions</c:v>
                </c:pt>
              </c:strCache>
            </c:strRef>
          </c:tx>
          <c:marker>
            <c:symbol val="none"/>
          </c:marker>
          <c:cat>
            <c:numRef>
              <c:f>'COoperation networking'!$B$2:$S$2</c:f>
              <c:numCache>
                <c:formatCode>General</c:formatCode>
                <c:ptCount val="18"/>
                <c:pt idx="0">
                  <c:v>1996</c:v>
                </c:pt>
                <c:pt idx="1">
                  <c:v>1997</c:v>
                </c:pt>
                <c:pt idx="2">
                  <c:v>1998</c:v>
                </c:pt>
                <c:pt idx="3">
                  <c:v>1999</c:v>
                </c:pt>
                <c:pt idx="4">
                  <c:v>2000</c:v>
                </c:pt>
                <c:pt idx="5">
                  <c:v>2001</c:v>
                </c:pt>
                <c:pt idx="6">
                  <c:v>2002</c:v>
                </c:pt>
                <c:pt idx="7">
                  <c:v>2003</c:v>
                </c:pt>
                <c:pt idx="8">
                  <c:v>2004</c:v>
                </c:pt>
                <c:pt idx="9">
                  <c:v>2005</c:v>
                </c:pt>
                <c:pt idx="10">
                  <c:v>2006</c:v>
                </c:pt>
                <c:pt idx="11">
                  <c:v>2007</c:v>
                </c:pt>
                <c:pt idx="12">
                  <c:v>2008</c:v>
                </c:pt>
                <c:pt idx="13">
                  <c:v>2009</c:v>
                </c:pt>
                <c:pt idx="14">
                  <c:v>2010</c:v>
                </c:pt>
                <c:pt idx="15">
                  <c:v>2011</c:v>
                </c:pt>
                <c:pt idx="16">
                  <c:v>2012</c:v>
                </c:pt>
                <c:pt idx="17">
                  <c:v>2013</c:v>
                </c:pt>
              </c:numCache>
            </c:numRef>
          </c:cat>
          <c:val>
            <c:numRef>
              <c:f>'COoperation networking'!$B$4:$S$4</c:f>
              <c:numCache>
                <c:formatCode>General</c:formatCode>
                <c:ptCount val="18"/>
                <c:pt idx="0">
                  <c:v>33</c:v>
                </c:pt>
                <c:pt idx="1">
                  <c:v>33</c:v>
                </c:pt>
                <c:pt idx="2">
                  <c:v>30</c:v>
                </c:pt>
                <c:pt idx="3">
                  <c:v>52</c:v>
                </c:pt>
                <c:pt idx="4">
                  <c:v>66</c:v>
                </c:pt>
                <c:pt idx="5">
                  <c:v>76</c:v>
                </c:pt>
                <c:pt idx="6">
                  <c:v>81</c:v>
                </c:pt>
                <c:pt idx="7">
                  <c:v>77</c:v>
                </c:pt>
                <c:pt idx="8">
                  <c:v>90</c:v>
                </c:pt>
                <c:pt idx="9">
                  <c:v>114</c:v>
                </c:pt>
                <c:pt idx="10">
                  <c:v>102</c:v>
                </c:pt>
                <c:pt idx="11">
                  <c:v>111</c:v>
                </c:pt>
                <c:pt idx="12">
                  <c:v>83</c:v>
                </c:pt>
                <c:pt idx="13">
                  <c:v>145</c:v>
                </c:pt>
                <c:pt idx="14">
                  <c:v>581</c:v>
                </c:pt>
                <c:pt idx="15">
                  <c:v>667</c:v>
                </c:pt>
                <c:pt idx="16">
                  <c:v>740</c:v>
                </c:pt>
                <c:pt idx="17">
                  <c:v>703</c:v>
                </c:pt>
              </c:numCache>
            </c:numRef>
          </c:val>
        </c:ser>
        <c:marker val="1"/>
        <c:axId val="131438848"/>
        <c:axId val="131457024"/>
      </c:lineChart>
      <c:catAx>
        <c:axId val="131438848"/>
        <c:scaling>
          <c:orientation val="minMax"/>
        </c:scaling>
        <c:axPos val="b"/>
        <c:numFmt formatCode="General" sourceLinked="1"/>
        <c:majorTickMark val="none"/>
        <c:tickLblPos val="nextTo"/>
        <c:crossAx val="131457024"/>
        <c:crosses val="autoZero"/>
        <c:auto val="1"/>
        <c:lblAlgn val="ctr"/>
        <c:lblOffset val="100"/>
      </c:catAx>
      <c:valAx>
        <c:axId val="131457024"/>
        <c:scaling>
          <c:orientation val="minMax"/>
        </c:scaling>
        <c:axPos val="l"/>
        <c:numFmt formatCode="General" sourceLinked="1"/>
        <c:majorTickMark val="none"/>
        <c:tickLblPos val="nextTo"/>
        <c:crossAx val="131438848"/>
        <c:crosses val="autoZero"/>
        <c:crossBetween val="between"/>
      </c:valAx>
    </c:plotArea>
    <c:legend>
      <c:legendPos val="b"/>
    </c:legend>
    <c:plotVisOnly val="1"/>
    <c:dispBlanksAs val="gap"/>
  </c:chart>
  <c:spPr>
    <a:ln>
      <a:noFill/>
    </a:ln>
  </c:sp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barChart>
        <c:barDir val="col"/>
        <c:grouping val="clustered"/>
        <c:ser>
          <c:idx val="0"/>
          <c:order val="0"/>
          <c:tx>
            <c:strRef>
              <c:f>'Partner countries publ GEO'!$A$2</c:f>
              <c:strCache>
                <c:ptCount val="1"/>
                <c:pt idx="0">
                  <c:v>USA</c:v>
                </c:pt>
              </c:strCache>
            </c:strRef>
          </c:tx>
          <c:cat>
            <c:numRef>
              <c:f>'Partner countries publ GEO'!$B$1:$S$1</c:f>
              <c:numCache>
                <c:formatCode>General</c:formatCode>
                <c:ptCount val="18"/>
                <c:pt idx="0">
                  <c:v>1996</c:v>
                </c:pt>
                <c:pt idx="1">
                  <c:v>1997</c:v>
                </c:pt>
                <c:pt idx="2">
                  <c:v>1998</c:v>
                </c:pt>
                <c:pt idx="3">
                  <c:v>1999</c:v>
                </c:pt>
                <c:pt idx="4">
                  <c:v>2000</c:v>
                </c:pt>
                <c:pt idx="5">
                  <c:v>2001</c:v>
                </c:pt>
                <c:pt idx="6">
                  <c:v>2002</c:v>
                </c:pt>
                <c:pt idx="7">
                  <c:v>2003</c:v>
                </c:pt>
                <c:pt idx="8">
                  <c:v>2004</c:v>
                </c:pt>
                <c:pt idx="9">
                  <c:v>2005</c:v>
                </c:pt>
                <c:pt idx="10">
                  <c:v>2006</c:v>
                </c:pt>
                <c:pt idx="11">
                  <c:v>2007</c:v>
                </c:pt>
                <c:pt idx="12">
                  <c:v>2008</c:v>
                </c:pt>
                <c:pt idx="13">
                  <c:v>2009</c:v>
                </c:pt>
                <c:pt idx="14">
                  <c:v>2010</c:v>
                </c:pt>
                <c:pt idx="15">
                  <c:v>2011</c:v>
                </c:pt>
                <c:pt idx="16">
                  <c:v>2012</c:v>
                </c:pt>
                <c:pt idx="17">
                  <c:v>2013</c:v>
                </c:pt>
              </c:numCache>
            </c:numRef>
          </c:cat>
          <c:val>
            <c:numRef>
              <c:f>'Partner countries publ GEO'!$B$2:$S$2</c:f>
              <c:numCache>
                <c:formatCode>General</c:formatCode>
                <c:ptCount val="18"/>
                <c:pt idx="0">
                  <c:v>11</c:v>
                </c:pt>
                <c:pt idx="1">
                  <c:v>10</c:v>
                </c:pt>
                <c:pt idx="2">
                  <c:v>17</c:v>
                </c:pt>
                <c:pt idx="3">
                  <c:v>21</c:v>
                </c:pt>
                <c:pt idx="4">
                  <c:v>25</c:v>
                </c:pt>
                <c:pt idx="5">
                  <c:v>19</c:v>
                </c:pt>
                <c:pt idx="6">
                  <c:v>47</c:v>
                </c:pt>
                <c:pt idx="7">
                  <c:v>30</c:v>
                </c:pt>
                <c:pt idx="8">
                  <c:v>42</c:v>
                </c:pt>
                <c:pt idx="9">
                  <c:v>46</c:v>
                </c:pt>
                <c:pt idx="10">
                  <c:v>57</c:v>
                </c:pt>
                <c:pt idx="11">
                  <c:v>44</c:v>
                </c:pt>
                <c:pt idx="12">
                  <c:v>37</c:v>
                </c:pt>
                <c:pt idx="13">
                  <c:v>55</c:v>
                </c:pt>
                <c:pt idx="14">
                  <c:v>103</c:v>
                </c:pt>
                <c:pt idx="15">
                  <c:v>200</c:v>
                </c:pt>
                <c:pt idx="16">
                  <c:v>299</c:v>
                </c:pt>
                <c:pt idx="17">
                  <c:v>252</c:v>
                </c:pt>
              </c:numCache>
            </c:numRef>
          </c:val>
        </c:ser>
        <c:ser>
          <c:idx val="1"/>
          <c:order val="1"/>
          <c:tx>
            <c:strRef>
              <c:f>'Partner countries publ GEO'!$A$3</c:f>
              <c:strCache>
                <c:ptCount val="1"/>
                <c:pt idx="0">
                  <c:v>GERMANY</c:v>
                </c:pt>
              </c:strCache>
            </c:strRef>
          </c:tx>
          <c:cat>
            <c:numRef>
              <c:f>'Partner countries publ GEO'!$B$1:$S$1</c:f>
              <c:numCache>
                <c:formatCode>General</c:formatCode>
                <c:ptCount val="18"/>
                <c:pt idx="0">
                  <c:v>1996</c:v>
                </c:pt>
                <c:pt idx="1">
                  <c:v>1997</c:v>
                </c:pt>
                <c:pt idx="2">
                  <c:v>1998</c:v>
                </c:pt>
                <c:pt idx="3">
                  <c:v>1999</c:v>
                </c:pt>
                <c:pt idx="4">
                  <c:v>2000</c:v>
                </c:pt>
                <c:pt idx="5">
                  <c:v>2001</c:v>
                </c:pt>
                <c:pt idx="6">
                  <c:v>2002</c:v>
                </c:pt>
                <c:pt idx="7">
                  <c:v>2003</c:v>
                </c:pt>
                <c:pt idx="8">
                  <c:v>2004</c:v>
                </c:pt>
                <c:pt idx="9">
                  <c:v>2005</c:v>
                </c:pt>
                <c:pt idx="10">
                  <c:v>2006</c:v>
                </c:pt>
                <c:pt idx="11">
                  <c:v>2007</c:v>
                </c:pt>
                <c:pt idx="12">
                  <c:v>2008</c:v>
                </c:pt>
                <c:pt idx="13">
                  <c:v>2009</c:v>
                </c:pt>
                <c:pt idx="14">
                  <c:v>2010</c:v>
                </c:pt>
                <c:pt idx="15">
                  <c:v>2011</c:v>
                </c:pt>
                <c:pt idx="16">
                  <c:v>2012</c:v>
                </c:pt>
                <c:pt idx="17">
                  <c:v>2013</c:v>
                </c:pt>
              </c:numCache>
            </c:numRef>
          </c:cat>
          <c:val>
            <c:numRef>
              <c:f>'Partner countries publ GEO'!$B$3:$S$3</c:f>
              <c:numCache>
                <c:formatCode>General</c:formatCode>
                <c:ptCount val="18"/>
                <c:pt idx="0">
                  <c:v>18</c:v>
                </c:pt>
                <c:pt idx="1">
                  <c:v>19</c:v>
                </c:pt>
                <c:pt idx="2">
                  <c:v>25</c:v>
                </c:pt>
                <c:pt idx="3">
                  <c:v>29</c:v>
                </c:pt>
                <c:pt idx="4">
                  <c:v>36</c:v>
                </c:pt>
                <c:pt idx="5">
                  <c:v>45</c:v>
                </c:pt>
                <c:pt idx="6">
                  <c:v>50</c:v>
                </c:pt>
                <c:pt idx="7">
                  <c:v>42</c:v>
                </c:pt>
                <c:pt idx="8">
                  <c:v>55</c:v>
                </c:pt>
                <c:pt idx="9">
                  <c:v>39</c:v>
                </c:pt>
                <c:pt idx="10">
                  <c:v>41</c:v>
                </c:pt>
                <c:pt idx="11">
                  <c:v>39</c:v>
                </c:pt>
                <c:pt idx="12">
                  <c:v>45</c:v>
                </c:pt>
                <c:pt idx="13">
                  <c:v>41</c:v>
                </c:pt>
                <c:pt idx="14">
                  <c:v>100</c:v>
                </c:pt>
                <c:pt idx="15">
                  <c:v>174</c:v>
                </c:pt>
                <c:pt idx="16">
                  <c:v>279</c:v>
                </c:pt>
                <c:pt idx="17">
                  <c:v>206</c:v>
                </c:pt>
              </c:numCache>
            </c:numRef>
          </c:val>
        </c:ser>
        <c:ser>
          <c:idx val="2"/>
          <c:order val="2"/>
          <c:tx>
            <c:strRef>
              <c:f>'Partner countries publ GEO'!$A$4</c:f>
              <c:strCache>
                <c:ptCount val="1"/>
                <c:pt idx="0">
                  <c:v>RUSSIA</c:v>
                </c:pt>
              </c:strCache>
            </c:strRef>
          </c:tx>
          <c:cat>
            <c:numRef>
              <c:f>'Partner countries publ GEO'!$B$1:$S$1</c:f>
              <c:numCache>
                <c:formatCode>General</c:formatCode>
                <c:ptCount val="18"/>
                <c:pt idx="0">
                  <c:v>1996</c:v>
                </c:pt>
                <c:pt idx="1">
                  <c:v>1997</c:v>
                </c:pt>
                <c:pt idx="2">
                  <c:v>1998</c:v>
                </c:pt>
                <c:pt idx="3">
                  <c:v>1999</c:v>
                </c:pt>
                <c:pt idx="4">
                  <c:v>2000</c:v>
                </c:pt>
                <c:pt idx="5">
                  <c:v>2001</c:v>
                </c:pt>
                <c:pt idx="6">
                  <c:v>2002</c:v>
                </c:pt>
                <c:pt idx="7">
                  <c:v>2003</c:v>
                </c:pt>
                <c:pt idx="8">
                  <c:v>2004</c:v>
                </c:pt>
                <c:pt idx="9">
                  <c:v>2005</c:v>
                </c:pt>
                <c:pt idx="10">
                  <c:v>2006</c:v>
                </c:pt>
                <c:pt idx="11">
                  <c:v>2007</c:v>
                </c:pt>
                <c:pt idx="12">
                  <c:v>2008</c:v>
                </c:pt>
                <c:pt idx="13">
                  <c:v>2009</c:v>
                </c:pt>
                <c:pt idx="14">
                  <c:v>2010</c:v>
                </c:pt>
                <c:pt idx="15">
                  <c:v>2011</c:v>
                </c:pt>
                <c:pt idx="16">
                  <c:v>2012</c:v>
                </c:pt>
                <c:pt idx="17">
                  <c:v>2013</c:v>
                </c:pt>
              </c:numCache>
            </c:numRef>
          </c:cat>
          <c:val>
            <c:numRef>
              <c:f>'Partner countries publ GEO'!$B$4:$S$4</c:f>
              <c:numCache>
                <c:formatCode>General</c:formatCode>
                <c:ptCount val="18"/>
                <c:pt idx="0">
                  <c:v>45</c:v>
                </c:pt>
                <c:pt idx="1">
                  <c:v>39</c:v>
                </c:pt>
                <c:pt idx="2">
                  <c:v>32</c:v>
                </c:pt>
                <c:pt idx="3">
                  <c:v>46</c:v>
                </c:pt>
                <c:pt idx="4">
                  <c:v>35</c:v>
                </c:pt>
                <c:pt idx="5">
                  <c:v>44</c:v>
                </c:pt>
                <c:pt idx="6">
                  <c:v>37</c:v>
                </c:pt>
                <c:pt idx="7">
                  <c:v>37</c:v>
                </c:pt>
                <c:pt idx="8">
                  <c:v>50</c:v>
                </c:pt>
                <c:pt idx="9">
                  <c:v>33</c:v>
                </c:pt>
                <c:pt idx="10">
                  <c:v>39</c:v>
                </c:pt>
                <c:pt idx="11">
                  <c:v>39</c:v>
                </c:pt>
                <c:pt idx="12">
                  <c:v>45</c:v>
                </c:pt>
                <c:pt idx="13">
                  <c:v>41</c:v>
                </c:pt>
                <c:pt idx="14">
                  <c:v>75</c:v>
                </c:pt>
                <c:pt idx="15">
                  <c:v>161</c:v>
                </c:pt>
                <c:pt idx="16">
                  <c:v>265</c:v>
                </c:pt>
                <c:pt idx="17">
                  <c:v>195</c:v>
                </c:pt>
              </c:numCache>
            </c:numRef>
          </c:val>
        </c:ser>
        <c:ser>
          <c:idx val="3"/>
          <c:order val="3"/>
          <c:tx>
            <c:strRef>
              <c:f>'Partner countries publ GEO'!$A$5</c:f>
              <c:strCache>
                <c:ptCount val="1"/>
                <c:pt idx="0">
                  <c:v>ITALY</c:v>
                </c:pt>
              </c:strCache>
            </c:strRef>
          </c:tx>
          <c:cat>
            <c:numRef>
              <c:f>'Partner countries publ GEO'!$B$1:$S$1</c:f>
              <c:numCache>
                <c:formatCode>General</c:formatCode>
                <c:ptCount val="18"/>
                <c:pt idx="0">
                  <c:v>1996</c:v>
                </c:pt>
                <c:pt idx="1">
                  <c:v>1997</c:v>
                </c:pt>
                <c:pt idx="2">
                  <c:v>1998</c:v>
                </c:pt>
                <c:pt idx="3">
                  <c:v>1999</c:v>
                </c:pt>
                <c:pt idx="4">
                  <c:v>2000</c:v>
                </c:pt>
                <c:pt idx="5">
                  <c:v>2001</c:v>
                </c:pt>
                <c:pt idx="6">
                  <c:v>2002</c:v>
                </c:pt>
                <c:pt idx="7">
                  <c:v>2003</c:v>
                </c:pt>
                <c:pt idx="8">
                  <c:v>2004</c:v>
                </c:pt>
                <c:pt idx="9">
                  <c:v>2005</c:v>
                </c:pt>
                <c:pt idx="10">
                  <c:v>2006</c:v>
                </c:pt>
                <c:pt idx="11">
                  <c:v>2007</c:v>
                </c:pt>
                <c:pt idx="12">
                  <c:v>2008</c:v>
                </c:pt>
                <c:pt idx="13">
                  <c:v>2009</c:v>
                </c:pt>
                <c:pt idx="14">
                  <c:v>2010</c:v>
                </c:pt>
                <c:pt idx="15">
                  <c:v>2011</c:v>
                </c:pt>
                <c:pt idx="16">
                  <c:v>2012</c:v>
                </c:pt>
                <c:pt idx="17">
                  <c:v>2013</c:v>
                </c:pt>
              </c:numCache>
            </c:numRef>
          </c:cat>
          <c:val>
            <c:numRef>
              <c:f>'Partner countries publ GEO'!$B$5:$S$5</c:f>
              <c:numCache>
                <c:formatCode>General</c:formatCode>
                <c:ptCount val="18"/>
                <c:pt idx="0">
                  <c:v>9</c:v>
                </c:pt>
                <c:pt idx="1">
                  <c:v>20</c:v>
                </c:pt>
                <c:pt idx="2">
                  <c:v>9</c:v>
                </c:pt>
                <c:pt idx="3">
                  <c:v>15</c:v>
                </c:pt>
                <c:pt idx="4">
                  <c:v>15</c:v>
                </c:pt>
                <c:pt idx="5">
                  <c:v>22</c:v>
                </c:pt>
                <c:pt idx="6">
                  <c:v>21</c:v>
                </c:pt>
                <c:pt idx="7">
                  <c:v>27</c:v>
                </c:pt>
                <c:pt idx="8">
                  <c:v>18</c:v>
                </c:pt>
                <c:pt idx="9">
                  <c:v>29</c:v>
                </c:pt>
                <c:pt idx="10">
                  <c:v>24</c:v>
                </c:pt>
                <c:pt idx="11">
                  <c:v>36</c:v>
                </c:pt>
                <c:pt idx="12">
                  <c:v>19</c:v>
                </c:pt>
                <c:pt idx="13">
                  <c:v>22</c:v>
                </c:pt>
                <c:pt idx="14">
                  <c:v>71</c:v>
                </c:pt>
                <c:pt idx="15">
                  <c:v>158</c:v>
                </c:pt>
                <c:pt idx="16">
                  <c:v>258</c:v>
                </c:pt>
                <c:pt idx="17">
                  <c:v>203</c:v>
                </c:pt>
              </c:numCache>
            </c:numRef>
          </c:val>
        </c:ser>
        <c:axId val="131496960"/>
        <c:axId val="131502848"/>
      </c:barChart>
      <c:catAx>
        <c:axId val="131496960"/>
        <c:scaling>
          <c:orientation val="minMax"/>
        </c:scaling>
        <c:axPos val="b"/>
        <c:numFmt formatCode="General" sourceLinked="1"/>
        <c:majorTickMark val="none"/>
        <c:tickLblPos val="nextTo"/>
        <c:crossAx val="131502848"/>
        <c:crosses val="autoZero"/>
        <c:auto val="1"/>
        <c:lblAlgn val="ctr"/>
        <c:lblOffset val="100"/>
      </c:catAx>
      <c:valAx>
        <c:axId val="131502848"/>
        <c:scaling>
          <c:orientation val="minMax"/>
        </c:scaling>
        <c:axPos val="l"/>
        <c:title>
          <c:tx>
            <c:rich>
              <a:bodyPr/>
              <a:lstStyle/>
              <a:p>
                <a:pPr>
                  <a:defRPr/>
                </a:pPr>
                <a:r>
                  <a:rPr lang="en-US"/>
                  <a:t>Publications</a:t>
                </a:r>
              </a:p>
            </c:rich>
          </c:tx>
        </c:title>
        <c:numFmt formatCode="General" sourceLinked="1"/>
        <c:tickLblPos val="nextTo"/>
        <c:crossAx val="131496960"/>
        <c:crosses val="autoZero"/>
        <c:crossBetween val="between"/>
      </c:valAx>
    </c:plotArea>
    <c:legend>
      <c:legendPos val="r"/>
    </c:legend>
    <c:plotVisOnly val="1"/>
    <c:dispBlanksAs val="gap"/>
  </c:chart>
  <c:spPr>
    <a:ln>
      <a:noFill/>
    </a:ln>
  </c:sp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en-US"/>
  <c:chart>
    <c:plotArea>
      <c:layout/>
      <c:lineChart>
        <c:grouping val="standard"/>
        <c:ser>
          <c:idx val="0"/>
          <c:order val="0"/>
          <c:tx>
            <c:strRef>
              <c:f>'sources publ'!$A$3</c:f>
              <c:strCache>
                <c:ptCount val="1"/>
                <c:pt idx="0">
                  <c:v>PHYSICS LETTERS B</c:v>
                </c:pt>
              </c:strCache>
            </c:strRef>
          </c:tx>
          <c:marker>
            <c:symbol val="none"/>
          </c:marker>
          <c:cat>
            <c:numRef>
              <c:f>'sources publ'!$B$2:$G$2</c:f>
              <c:numCache>
                <c:formatCode>General</c:formatCode>
                <c:ptCount val="6"/>
                <c:pt idx="0">
                  <c:v>2008</c:v>
                </c:pt>
                <c:pt idx="1">
                  <c:v>2009</c:v>
                </c:pt>
                <c:pt idx="2">
                  <c:v>2010</c:v>
                </c:pt>
                <c:pt idx="3">
                  <c:v>2011</c:v>
                </c:pt>
                <c:pt idx="4">
                  <c:v>2012</c:v>
                </c:pt>
                <c:pt idx="5">
                  <c:v>2013</c:v>
                </c:pt>
              </c:numCache>
            </c:numRef>
          </c:cat>
          <c:val>
            <c:numRef>
              <c:f>'sources publ'!$B$3:$G$3</c:f>
              <c:numCache>
                <c:formatCode>General</c:formatCode>
                <c:ptCount val="6"/>
                <c:pt idx="0">
                  <c:v>6</c:v>
                </c:pt>
                <c:pt idx="1">
                  <c:v>3</c:v>
                </c:pt>
                <c:pt idx="2">
                  <c:v>4</c:v>
                </c:pt>
                <c:pt idx="3">
                  <c:v>38</c:v>
                </c:pt>
                <c:pt idx="4">
                  <c:v>73</c:v>
                </c:pt>
                <c:pt idx="5">
                  <c:v>51</c:v>
                </c:pt>
              </c:numCache>
            </c:numRef>
          </c:val>
        </c:ser>
        <c:ser>
          <c:idx val="1"/>
          <c:order val="1"/>
          <c:tx>
            <c:strRef>
              <c:f>'sources publ'!$A$4</c:f>
              <c:strCache>
                <c:ptCount val="1"/>
                <c:pt idx="0">
                  <c:v>JOURNAL OF HIGH ENERGY PHYSICS</c:v>
                </c:pt>
              </c:strCache>
            </c:strRef>
          </c:tx>
          <c:marker>
            <c:symbol val="none"/>
          </c:marker>
          <c:cat>
            <c:numRef>
              <c:f>'sources publ'!$B$2:$G$2</c:f>
              <c:numCache>
                <c:formatCode>General</c:formatCode>
                <c:ptCount val="6"/>
                <c:pt idx="0">
                  <c:v>2008</c:v>
                </c:pt>
                <c:pt idx="1">
                  <c:v>2009</c:v>
                </c:pt>
                <c:pt idx="2">
                  <c:v>2010</c:v>
                </c:pt>
                <c:pt idx="3">
                  <c:v>2011</c:v>
                </c:pt>
                <c:pt idx="4">
                  <c:v>2012</c:v>
                </c:pt>
                <c:pt idx="5">
                  <c:v>2013</c:v>
                </c:pt>
              </c:numCache>
            </c:numRef>
          </c:cat>
          <c:val>
            <c:numRef>
              <c:f>'sources publ'!$B$4:$G$4</c:f>
              <c:numCache>
                <c:formatCode>General</c:formatCode>
                <c:ptCount val="6"/>
                <c:pt idx="1">
                  <c:v>2</c:v>
                </c:pt>
                <c:pt idx="2">
                  <c:v>7</c:v>
                </c:pt>
                <c:pt idx="3">
                  <c:v>31</c:v>
                </c:pt>
                <c:pt idx="4">
                  <c:v>58</c:v>
                </c:pt>
                <c:pt idx="5">
                  <c:v>39</c:v>
                </c:pt>
              </c:numCache>
            </c:numRef>
          </c:val>
        </c:ser>
        <c:ser>
          <c:idx val="2"/>
          <c:order val="2"/>
          <c:tx>
            <c:strRef>
              <c:f>'sources publ'!$A$5</c:f>
              <c:strCache>
                <c:ptCount val="1"/>
                <c:pt idx="0">
                  <c:v>PHYSICAL REVIEW LETTERS</c:v>
                </c:pt>
              </c:strCache>
            </c:strRef>
          </c:tx>
          <c:marker>
            <c:symbol val="none"/>
          </c:marker>
          <c:cat>
            <c:numRef>
              <c:f>'sources publ'!$B$2:$G$2</c:f>
              <c:numCache>
                <c:formatCode>General</c:formatCode>
                <c:ptCount val="6"/>
                <c:pt idx="0">
                  <c:v>2008</c:v>
                </c:pt>
                <c:pt idx="1">
                  <c:v>2009</c:v>
                </c:pt>
                <c:pt idx="2">
                  <c:v>2010</c:v>
                </c:pt>
                <c:pt idx="3">
                  <c:v>2011</c:v>
                </c:pt>
                <c:pt idx="4">
                  <c:v>2012</c:v>
                </c:pt>
                <c:pt idx="5">
                  <c:v>2013</c:v>
                </c:pt>
              </c:numCache>
            </c:numRef>
          </c:cat>
          <c:val>
            <c:numRef>
              <c:f>'sources publ'!$B$5:$G$5</c:f>
              <c:numCache>
                <c:formatCode>General</c:formatCode>
                <c:ptCount val="6"/>
                <c:pt idx="0">
                  <c:v>5</c:v>
                </c:pt>
                <c:pt idx="1">
                  <c:v>5</c:v>
                </c:pt>
                <c:pt idx="2">
                  <c:v>10</c:v>
                </c:pt>
                <c:pt idx="3">
                  <c:v>31</c:v>
                </c:pt>
                <c:pt idx="4">
                  <c:v>35</c:v>
                </c:pt>
                <c:pt idx="5">
                  <c:v>18</c:v>
                </c:pt>
              </c:numCache>
            </c:numRef>
          </c:val>
        </c:ser>
        <c:ser>
          <c:idx val="3"/>
          <c:order val="3"/>
          <c:tx>
            <c:strRef>
              <c:f>'sources publ'!$A$6</c:f>
              <c:strCache>
                <c:ptCount val="1"/>
                <c:pt idx="0">
                  <c:v>GEORGIAN MATHEMATICAL JOURNAL</c:v>
                </c:pt>
              </c:strCache>
            </c:strRef>
          </c:tx>
          <c:marker>
            <c:symbol val="none"/>
          </c:marker>
          <c:cat>
            <c:numRef>
              <c:f>'sources publ'!$B$2:$G$2</c:f>
              <c:numCache>
                <c:formatCode>General</c:formatCode>
                <c:ptCount val="6"/>
                <c:pt idx="0">
                  <c:v>2008</c:v>
                </c:pt>
                <c:pt idx="1">
                  <c:v>2009</c:v>
                </c:pt>
                <c:pt idx="2">
                  <c:v>2010</c:v>
                </c:pt>
                <c:pt idx="3">
                  <c:v>2011</c:v>
                </c:pt>
                <c:pt idx="4">
                  <c:v>2012</c:v>
                </c:pt>
                <c:pt idx="5">
                  <c:v>2013</c:v>
                </c:pt>
              </c:numCache>
            </c:numRef>
          </c:cat>
          <c:val>
            <c:numRef>
              <c:f>'sources publ'!$B$6:$G$6</c:f>
              <c:numCache>
                <c:formatCode>General</c:formatCode>
                <c:ptCount val="6"/>
                <c:pt idx="0">
                  <c:v>17</c:v>
                </c:pt>
                <c:pt idx="1">
                  <c:v>24</c:v>
                </c:pt>
                <c:pt idx="2">
                  <c:v>12</c:v>
                </c:pt>
                <c:pt idx="3">
                  <c:v>20</c:v>
                </c:pt>
                <c:pt idx="4">
                  <c:v>16</c:v>
                </c:pt>
                <c:pt idx="5">
                  <c:v>12</c:v>
                </c:pt>
              </c:numCache>
            </c:numRef>
          </c:val>
        </c:ser>
        <c:ser>
          <c:idx val="4"/>
          <c:order val="4"/>
          <c:tx>
            <c:strRef>
              <c:f>'sources publ'!$A$7</c:f>
              <c:strCache>
                <c:ptCount val="1"/>
                <c:pt idx="0">
                  <c:v>PHYSICAL REVIEW D</c:v>
                </c:pt>
              </c:strCache>
            </c:strRef>
          </c:tx>
          <c:marker>
            <c:symbol val="none"/>
          </c:marker>
          <c:cat>
            <c:numRef>
              <c:f>'sources publ'!$B$2:$G$2</c:f>
              <c:numCache>
                <c:formatCode>General</c:formatCode>
                <c:ptCount val="6"/>
                <c:pt idx="0">
                  <c:v>2008</c:v>
                </c:pt>
                <c:pt idx="1">
                  <c:v>2009</c:v>
                </c:pt>
                <c:pt idx="2">
                  <c:v>2010</c:v>
                </c:pt>
                <c:pt idx="3">
                  <c:v>2011</c:v>
                </c:pt>
                <c:pt idx="4">
                  <c:v>2012</c:v>
                </c:pt>
                <c:pt idx="5">
                  <c:v>2013</c:v>
                </c:pt>
              </c:numCache>
            </c:numRef>
          </c:cat>
          <c:val>
            <c:numRef>
              <c:f>'sources publ'!$B$7:$G$7</c:f>
              <c:numCache>
                <c:formatCode>General</c:formatCode>
                <c:ptCount val="6"/>
                <c:pt idx="0">
                  <c:v>6</c:v>
                </c:pt>
                <c:pt idx="1">
                  <c:v>5</c:v>
                </c:pt>
                <c:pt idx="2">
                  <c:v>5</c:v>
                </c:pt>
                <c:pt idx="3">
                  <c:v>15</c:v>
                </c:pt>
                <c:pt idx="4">
                  <c:v>35</c:v>
                </c:pt>
                <c:pt idx="5">
                  <c:v>31</c:v>
                </c:pt>
              </c:numCache>
            </c:numRef>
          </c:val>
        </c:ser>
        <c:marker val="1"/>
        <c:axId val="131562112"/>
        <c:axId val="131572096"/>
      </c:lineChart>
      <c:catAx>
        <c:axId val="131562112"/>
        <c:scaling>
          <c:orientation val="minMax"/>
        </c:scaling>
        <c:axPos val="b"/>
        <c:numFmt formatCode="General" sourceLinked="1"/>
        <c:majorTickMark val="none"/>
        <c:tickLblPos val="nextTo"/>
        <c:crossAx val="131572096"/>
        <c:crosses val="autoZero"/>
        <c:auto val="1"/>
        <c:lblAlgn val="ctr"/>
        <c:lblOffset val="100"/>
      </c:catAx>
      <c:valAx>
        <c:axId val="131572096"/>
        <c:scaling>
          <c:orientation val="minMax"/>
        </c:scaling>
        <c:axPos val="l"/>
        <c:title>
          <c:tx>
            <c:rich>
              <a:bodyPr rot="-5400000" vert="horz"/>
              <a:lstStyle/>
              <a:p>
                <a:pPr>
                  <a:defRPr/>
                </a:pPr>
                <a:r>
                  <a:rPr lang="en-US"/>
                  <a:t>Publications</a:t>
                </a:r>
              </a:p>
            </c:rich>
          </c:tx>
        </c:title>
        <c:numFmt formatCode="General" sourceLinked="1"/>
        <c:majorTickMark val="none"/>
        <c:tickLblPos val="nextTo"/>
        <c:crossAx val="131562112"/>
        <c:crosses val="autoZero"/>
        <c:crossBetween val="between"/>
      </c:valAx>
    </c:plotArea>
    <c:legend>
      <c:legendPos val="b"/>
      <c:txPr>
        <a:bodyPr/>
        <a:lstStyle/>
        <a:p>
          <a:pPr>
            <a:defRPr sz="800"/>
          </a:pPr>
          <a:endParaRPr lang="en-US"/>
        </a:p>
      </c:txPr>
    </c:legend>
    <c:plotVisOnly val="1"/>
    <c:dispBlanksAs val="gap"/>
  </c:chart>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clustered"/>
        <c:ser>
          <c:idx val="1"/>
          <c:order val="1"/>
          <c:tx>
            <c:strRef>
              <c:f>'GNSF analizi'!$L$22</c:f>
              <c:strCache>
                <c:ptCount val="1"/>
                <c:pt idx="0">
                  <c:v>Total output Web of Science</c:v>
                </c:pt>
              </c:strCache>
            </c:strRef>
          </c:tx>
          <c:dLbls>
            <c:showVal val="1"/>
          </c:dLbls>
          <c:cat>
            <c:numRef>
              <c:f>'GNSF analizi'!$J$23:$J$28</c:f>
              <c:numCache>
                <c:formatCode>General</c:formatCode>
                <c:ptCount val="6"/>
                <c:pt idx="0">
                  <c:v>2008</c:v>
                </c:pt>
                <c:pt idx="1">
                  <c:v>2009</c:v>
                </c:pt>
                <c:pt idx="2">
                  <c:v>2010</c:v>
                </c:pt>
                <c:pt idx="3">
                  <c:v>2011</c:v>
                </c:pt>
                <c:pt idx="4">
                  <c:v>2012</c:v>
                </c:pt>
                <c:pt idx="5">
                  <c:v>2013</c:v>
                </c:pt>
              </c:numCache>
            </c:numRef>
          </c:cat>
          <c:val>
            <c:numRef>
              <c:f>'GNSF analizi'!$L$23:$L$28</c:f>
              <c:numCache>
                <c:formatCode>General</c:formatCode>
                <c:ptCount val="6"/>
                <c:pt idx="0">
                  <c:v>338</c:v>
                </c:pt>
                <c:pt idx="1">
                  <c:v>366</c:v>
                </c:pt>
                <c:pt idx="2">
                  <c:v>387</c:v>
                </c:pt>
                <c:pt idx="3">
                  <c:v>506</c:v>
                </c:pt>
                <c:pt idx="4">
                  <c:v>600</c:v>
                </c:pt>
                <c:pt idx="5">
                  <c:v>534</c:v>
                </c:pt>
              </c:numCache>
            </c:numRef>
          </c:val>
        </c:ser>
        <c:axId val="131585536"/>
        <c:axId val="131587072"/>
      </c:barChart>
      <c:lineChart>
        <c:grouping val="standard"/>
        <c:ser>
          <c:idx val="0"/>
          <c:order val="0"/>
          <c:tx>
            <c:strRef>
              <c:f>'GNSF analizi'!$K$22</c:f>
              <c:strCache>
                <c:ptCount val="1"/>
                <c:pt idx="0">
                  <c:v>SRNSF budget (grants) - previous year</c:v>
                </c:pt>
              </c:strCache>
            </c:strRef>
          </c:tx>
          <c:cat>
            <c:numRef>
              <c:f>'GNSF analizi'!$J$23:$J$28</c:f>
              <c:numCache>
                <c:formatCode>General</c:formatCode>
                <c:ptCount val="6"/>
                <c:pt idx="0">
                  <c:v>2008</c:v>
                </c:pt>
                <c:pt idx="1">
                  <c:v>2009</c:v>
                </c:pt>
                <c:pt idx="2">
                  <c:v>2010</c:v>
                </c:pt>
                <c:pt idx="3">
                  <c:v>2011</c:v>
                </c:pt>
                <c:pt idx="4">
                  <c:v>2012</c:v>
                </c:pt>
                <c:pt idx="5">
                  <c:v>2013</c:v>
                </c:pt>
              </c:numCache>
            </c:numRef>
          </c:cat>
          <c:val>
            <c:numRef>
              <c:f>'GNSF analizi'!$K$23:$K$28</c:f>
              <c:numCache>
                <c:formatCode>#,##0</c:formatCode>
                <c:ptCount val="6"/>
                <c:pt idx="0">
                  <c:v>6569448</c:v>
                </c:pt>
                <c:pt idx="1">
                  <c:v>11788731</c:v>
                </c:pt>
                <c:pt idx="2">
                  <c:v>20173779</c:v>
                </c:pt>
                <c:pt idx="3">
                  <c:v>20919290</c:v>
                </c:pt>
                <c:pt idx="4">
                  <c:v>23699000</c:v>
                </c:pt>
                <c:pt idx="5">
                  <c:v>12184757</c:v>
                </c:pt>
              </c:numCache>
            </c:numRef>
          </c:val>
        </c:ser>
        <c:marker val="1"/>
        <c:axId val="131598592"/>
        <c:axId val="131597056"/>
      </c:lineChart>
      <c:catAx>
        <c:axId val="131585536"/>
        <c:scaling>
          <c:orientation val="minMax"/>
        </c:scaling>
        <c:axPos val="b"/>
        <c:numFmt formatCode="General" sourceLinked="1"/>
        <c:tickLblPos val="nextTo"/>
        <c:crossAx val="131587072"/>
        <c:crosses val="autoZero"/>
        <c:auto val="1"/>
        <c:lblAlgn val="ctr"/>
        <c:lblOffset val="100"/>
      </c:catAx>
      <c:valAx>
        <c:axId val="131587072"/>
        <c:scaling>
          <c:orientation val="minMax"/>
          <c:max val="700"/>
          <c:min val="0"/>
        </c:scaling>
        <c:axPos val="l"/>
        <c:majorGridlines/>
        <c:numFmt formatCode="General" sourceLinked="1"/>
        <c:tickLblPos val="nextTo"/>
        <c:crossAx val="131585536"/>
        <c:crosses val="autoZero"/>
        <c:crossBetween val="between"/>
      </c:valAx>
      <c:valAx>
        <c:axId val="131597056"/>
        <c:scaling>
          <c:orientation val="minMax"/>
        </c:scaling>
        <c:axPos val="r"/>
        <c:numFmt formatCode="#,##0" sourceLinked="1"/>
        <c:tickLblPos val="nextTo"/>
        <c:crossAx val="131598592"/>
        <c:crosses val="max"/>
        <c:crossBetween val="between"/>
      </c:valAx>
      <c:catAx>
        <c:axId val="131598592"/>
        <c:scaling>
          <c:orientation val="minMax"/>
        </c:scaling>
        <c:delete val="1"/>
        <c:axPos val="b"/>
        <c:numFmt formatCode="General" sourceLinked="1"/>
        <c:tickLblPos val="nextTo"/>
        <c:crossAx val="131597056"/>
        <c:crosses val="autoZero"/>
        <c:auto val="1"/>
        <c:lblAlgn val="ctr"/>
        <c:lblOffset val="100"/>
      </c:catAx>
    </c:plotArea>
    <c:legend>
      <c:legendPos val="t"/>
      <c:layout>
        <c:manualLayout>
          <c:xMode val="edge"/>
          <c:yMode val="edge"/>
          <c:x val="0.16778917985472724"/>
          <c:y val="1.9267822736030834E-2"/>
          <c:w val="0.66442164029054585"/>
          <c:h val="8.710459241727736E-2"/>
        </c:manualLayout>
      </c:layout>
    </c:legend>
    <c:plotVisOnly val="1"/>
    <c:dispBlanksAs val="gap"/>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style val="4"/>
  <c:chart>
    <c:autoTitleDeleted val="1"/>
    <c:plotArea>
      <c:layout/>
      <c:barChart>
        <c:barDir val="col"/>
        <c:grouping val="clustered"/>
        <c:ser>
          <c:idx val="0"/>
          <c:order val="0"/>
          <c:tx>
            <c:strRef>
              <c:f>'Thomson Total Production'!$C$1</c:f>
              <c:strCache>
                <c:ptCount val="1"/>
                <c:pt idx="0">
                  <c:v>Georgia</c:v>
                </c:pt>
              </c:strCache>
            </c:strRef>
          </c:tx>
          <c:dLbls>
            <c:showVal val="1"/>
          </c:dLbls>
          <c:cat>
            <c:numRef>
              <c:f>'Thomson Total Production'!$A$2:$A$10</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'Thomson Total Production'!$C$2:$C$10</c:f>
              <c:numCache>
                <c:formatCode>General</c:formatCode>
                <c:ptCount val="9"/>
                <c:pt idx="0">
                  <c:v>299</c:v>
                </c:pt>
                <c:pt idx="1">
                  <c:v>307</c:v>
                </c:pt>
                <c:pt idx="2">
                  <c:v>358</c:v>
                </c:pt>
                <c:pt idx="3">
                  <c:v>325</c:v>
                </c:pt>
                <c:pt idx="4">
                  <c:v>338</c:v>
                </c:pt>
                <c:pt idx="5">
                  <c:v>366</c:v>
                </c:pt>
                <c:pt idx="6">
                  <c:v>387</c:v>
                </c:pt>
                <c:pt idx="7">
                  <c:v>506</c:v>
                </c:pt>
                <c:pt idx="8">
                  <c:v>600</c:v>
                </c:pt>
              </c:numCache>
            </c:numRef>
          </c:val>
        </c:ser>
        <c:dLbls>
          <c:showVal val="1"/>
        </c:dLbls>
        <c:gapWidth val="75"/>
        <c:axId val="116773248"/>
        <c:axId val="116774784"/>
      </c:barChart>
      <c:catAx>
        <c:axId val="116773248"/>
        <c:scaling>
          <c:orientation val="minMax"/>
        </c:scaling>
        <c:axPos val="b"/>
        <c:numFmt formatCode="General" sourceLinked="1"/>
        <c:majorTickMark val="none"/>
        <c:tickLblPos val="nextTo"/>
        <c:txPr>
          <a:bodyPr/>
          <a:lstStyle/>
          <a:p>
            <a:pPr>
              <a:defRPr sz="800"/>
            </a:pPr>
            <a:endParaRPr lang="en-US"/>
          </a:p>
        </c:txPr>
        <c:crossAx val="116774784"/>
        <c:crosses val="autoZero"/>
        <c:auto val="1"/>
        <c:lblAlgn val="ctr"/>
        <c:lblOffset val="100"/>
      </c:catAx>
      <c:valAx>
        <c:axId val="116774784"/>
        <c:scaling>
          <c:orientation val="minMax"/>
          <c:max val="900"/>
        </c:scaling>
        <c:axPos val="l"/>
        <c:numFmt formatCode="General" sourceLinked="1"/>
        <c:majorTickMark val="none"/>
        <c:tickLblPos val="nextTo"/>
        <c:crossAx val="116773248"/>
        <c:crosses val="autoZero"/>
        <c:crossBetween val="between"/>
      </c:valAx>
    </c:plotArea>
    <c:plotVisOnly val="1"/>
    <c:dispBlanksAs val="gap"/>
  </c:chart>
  <c:spPr>
    <a:ln>
      <a:noFill/>
    </a:ln>
  </c:spPr>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7.3315425615721921E-2"/>
          <c:y val="0.15037438028579767"/>
          <c:w val="0.64022872689962074"/>
          <c:h val="0.69925123942840506"/>
        </c:manualLayout>
      </c:layout>
      <c:barChart>
        <c:barDir val="bar"/>
        <c:grouping val="clustered"/>
        <c:ser>
          <c:idx val="0"/>
          <c:order val="0"/>
          <c:tx>
            <c:strRef>
              <c:f>'GNSF analizi'!$B$4</c:f>
              <c:strCache>
                <c:ptCount val="1"/>
                <c:pt idx="0">
                  <c:v>SRNSF number of projects</c:v>
                </c:pt>
              </c:strCache>
            </c:strRef>
          </c:tx>
          <c:spPr>
            <a:ln w="101600">
              <a:solidFill>
                <a:srgbClr val="5B9BD5"/>
              </a:solidFill>
            </a:ln>
          </c:spPr>
          <c:dLbls>
            <c:dLbl>
              <c:idx val="4"/>
              <c:layout>
                <c:manualLayout>
                  <c:x val="3.9952783074548262E-2"/>
                  <c:y val="0"/>
                </c:manualLayout>
              </c:layout>
              <c:showVal val="1"/>
            </c:dLbl>
            <c:showVal val="1"/>
          </c:dLbls>
          <c:cat>
            <c:numRef>
              <c:f>'GNSF analizi'!$A$5:$A$9</c:f>
              <c:numCache>
                <c:formatCode>General</c:formatCode>
                <c:ptCount val="5"/>
                <c:pt idx="0">
                  <c:v>2008</c:v>
                </c:pt>
                <c:pt idx="1">
                  <c:v>2009</c:v>
                </c:pt>
                <c:pt idx="2">
                  <c:v>2010</c:v>
                </c:pt>
                <c:pt idx="3">
                  <c:v>2011</c:v>
                </c:pt>
                <c:pt idx="4">
                  <c:v>2012</c:v>
                </c:pt>
              </c:numCache>
            </c:numRef>
          </c:cat>
          <c:val>
            <c:numRef>
              <c:f>'GNSF analizi'!$B$5:$B$9</c:f>
              <c:numCache>
                <c:formatCode>General</c:formatCode>
                <c:ptCount val="5"/>
                <c:pt idx="0">
                  <c:v>43</c:v>
                </c:pt>
                <c:pt idx="1">
                  <c:v>93</c:v>
                </c:pt>
                <c:pt idx="2">
                  <c:v>113</c:v>
                </c:pt>
                <c:pt idx="3">
                  <c:v>101</c:v>
                </c:pt>
                <c:pt idx="4">
                  <c:v>90</c:v>
                </c:pt>
              </c:numCache>
            </c:numRef>
          </c:val>
        </c:ser>
        <c:axId val="131629440"/>
        <c:axId val="131630976"/>
      </c:barChart>
      <c:barChart>
        <c:barDir val="bar"/>
        <c:grouping val="clustered"/>
        <c:ser>
          <c:idx val="1"/>
          <c:order val="1"/>
          <c:tx>
            <c:strRef>
              <c:f>'GNSF analizi'!$C$4</c:f>
              <c:strCache>
                <c:ptCount val="1"/>
                <c:pt idx="0">
                  <c:v>GNSF (Web of science)</c:v>
                </c:pt>
              </c:strCache>
            </c:strRef>
          </c:tx>
          <c:spPr>
            <a:ln w="38100">
              <a:noFill/>
            </a:ln>
          </c:spPr>
          <c:dLbls>
            <c:dLblPos val="ctr"/>
            <c:showVal val="1"/>
          </c:dLbls>
          <c:cat>
            <c:numRef>
              <c:f>'GNSF analizi'!$A$5:$A$9</c:f>
              <c:numCache>
                <c:formatCode>General</c:formatCode>
                <c:ptCount val="5"/>
                <c:pt idx="0">
                  <c:v>2008</c:v>
                </c:pt>
                <c:pt idx="1">
                  <c:v>2009</c:v>
                </c:pt>
                <c:pt idx="2">
                  <c:v>2010</c:v>
                </c:pt>
                <c:pt idx="3">
                  <c:v>2011</c:v>
                </c:pt>
                <c:pt idx="4">
                  <c:v>2012</c:v>
                </c:pt>
              </c:numCache>
            </c:numRef>
          </c:cat>
          <c:val>
            <c:numRef>
              <c:f>'GNSF analizi'!$C$5:$C$9</c:f>
              <c:numCache>
                <c:formatCode>General</c:formatCode>
                <c:ptCount val="5"/>
                <c:pt idx="0">
                  <c:v>26</c:v>
                </c:pt>
                <c:pt idx="1">
                  <c:v>81</c:v>
                </c:pt>
                <c:pt idx="2">
                  <c:v>103</c:v>
                </c:pt>
                <c:pt idx="3">
                  <c:v>98</c:v>
                </c:pt>
                <c:pt idx="4">
                  <c:v>81</c:v>
                </c:pt>
              </c:numCache>
            </c:numRef>
          </c:val>
        </c:ser>
        <c:gapWidth val="188"/>
        <c:overlap val="22"/>
        <c:axId val="131654784"/>
        <c:axId val="131632512"/>
      </c:barChart>
      <c:catAx>
        <c:axId val="131629440"/>
        <c:scaling>
          <c:orientation val="minMax"/>
        </c:scaling>
        <c:axPos val="l"/>
        <c:numFmt formatCode="General" sourceLinked="1"/>
        <c:tickLblPos val="nextTo"/>
        <c:crossAx val="131630976"/>
        <c:crosses val="autoZero"/>
        <c:auto val="1"/>
        <c:lblAlgn val="ctr"/>
        <c:lblOffset val="100"/>
      </c:catAx>
      <c:valAx>
        <c:axId val="131630976"/>
        <c:scaling>
          <c:orientation val="minMax"/>
        </c:scaling>
        <c:delete val="1"/>
        <c:axPos val="b"/>
        <c:numFmt formatCode="General" sourceLinked="1"/>
        <c:tickLblPos val="nextTo"/>
        <c:crossAx val="131629440"/>
        <c:crosses val="autoZero"/>
        <c:crossBetween val="between"/>
      </c:valAx>
      <c:valAx>
        <c:axId val="131632512"/>
        <c:scaling>
          <c:orientation val="minMax"/>
        </c:scaling>
        <c:delete val="1"/>
        <c:axPos val="t"/>
        <c:numFmt formatCode="General" sourceLinked="1"/>
        <c:tickLblPos val="nextTo"/>
        <c:crossAx val="131654784"/>
        <c:crosses val="max"/>
        <c:crossBetween val="between"/>
      </c:valAx>
      <c:catAx>
        <c:axId val="131654784"/>
        <c:scaling>
          <c:orientation val="minMax"/>
        </c:scaling>
        <c:delete val="1"/>
        <c:axPos val="l"/>
        <c:numFmt formatCode="General" sourceLinked="1"/>
        <c:tickLblPos val="nextTo"/>
        <c:crossAx val="131632512"/>
        <c:crosses val="autoZero"/>
        <c:auto val="1"/>
        <c:lblAlgn val="ctr"/>
        <c:lblOffset val="100"/>
      </c:catAx>
    </c:plotArea>
    <c:legend>
      <c:legendPos val="r"/>
    </c:legend>
    <c:plotVisOnly val="1"/>
    <c:dispBlanksAs val="gap"/>
  </c:chart>
  <c:spPr>
    <a:ln>
      <a:noFill/>
    </a:ln>
  </c:spPr>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bar"/>
        <c:grouping val="clustered"/>
        <c:ser>
          <c:idx val="1"/>
          <c:order val="1"/>
          <c:tx>
            <c:strRef>
              <c:f>'GNSF analizi'!$C$96</c:f>
              <c:strCache>
                <c:ptCount val="1"/>
                <c:pt idx="0">
                  <c:v>SRNSF (number of projects )</c:v>
                </c:pt>
              </c:strCache>
            </c:strRef>
          </c:tx>
          <c:spPr>
            <a:ln w="88900">
              <a:solidFill>
                <a:schemeClr val="accent2"/>
              </a:solidFill>
            </a:ln>
          </c:spPr>
          <c:dLbls>
            <c:showVal val="1"/>
          </c:dLbls>
          <c:cat>
            <c:numRef>
              <c:f>'GNSF analizi'!$A$97:$A$101</c:f>
              <c:numCache>
                <c:formatCode>General</c:formatCode>
                <c:ptCount val="5"/>
                <c:pt idx="0">
                  <c:v>2008</c:v>
                </c:pt>
                <c:pt idx="1">
                  <c:v>2009</c:v>
                </c:pt>
                <c:pt idx="2">
                  <c:v>2010</c:v>
                </c:pt>
                <c:pt idx="3">
                  <c:v>2011</c:v>
                </c:pt>
                <c:pt idx="4">
                  <c:v>2012</c:v>
                </c:pt>
              </c:numCache>
            </c:numRef>
          </c:cat>
          <c:val>
            <c:numRef>
              <c:f>'GNSF analizi'!$C$97:$C$101</c:f>
              <c:numCache>
                <c:formatCode>General</c:formatCode>
                <c:ptCount val="5"/>
                <c:pt idx="0">
                  <c:v>43</c:v>
                </c:pt>
                <c:pt idx="1">
                  <c:v>93</c:v>
                </c:pt>
                <c:pt idx="2">
                  <c:v>113</c:v>
                </c:pt>
                <c:pt idx="3">
                  <c:v>101</c:v>
                </c:pt>
                <c:pt idx="4">
                  <c:v>90</c:v>
                </c:pt>
              </c:numCache>
            </c:numRef>
          </c:val>
        </c:ser>
        <c:axId val="131682688"/>
        <c:axId val="131684224"/>
      </c:barChart>
      <c:barChart>
        <c:barDir val="bar"/>
        <c:grouping val="clustered"/>
        <c:ser>
          <c:idx val="0"/>
          <c:order val="0"/>
          <c:tx>
            <c:strRef>
              <c:f>'GNSF analizi'!$B$96</c:f>
              <c:strCache>
                <c:ptCount val="1"/>
                <c:pt idx="0">
                  <c:v>SRNSF number of projects</c:v>
                </c:pt>
              </c:strCache>
            </c:strRef>
          </c:tx>
          <c:dLbls>
            <c:showVal val="1"/>
          </c:dLbls>
          <c:cat>
            <c:numRef>
              <c:f>'GNSF analizi'!$A$97:$A$101</c:f>
              <c:numCache>
                <c:formatCode>General</c:formatCode>
                <c:ptCount val="5"/>
                <c:pt idx="0">
                  <c:v>2008</c:v>
                </c:pt>
                <c:pt idx="1">
                  <c:v>2009</c:v>
                </c:pt>
                <c:pt idx="2">
                  <c:v>2010</c:v>
                </c:pt>
                <c:pt idx="3">
                  <c:v>2011</c:v>
                </c:pt>
                <c:pt idx="4">
                  <c:v>2012</c:v>
                </c:pt>
              </c:numCache>
            </c:numRef>
          </c:cat>
          <c:val>
            <c:numRef>
              <c:f>'GNSF analizi'!$B$97:$B$101</c:f>
              <c:numCache>
                <c:formatCode>General</c:formatCode>
                <c:ptCount val="5"/>
                <c:pt idx="0">
                  <c:v>17</c:v>
                </c:pt>
                <c:pt idx="1">
                  <c:v>53</c:v>
                </c:pt>
                <c:pt idx="2">
                  <c:v>61</c:v>
                </c:pt>
                <c:pt idx="3">
                  <c:v>59</c:v>
                </c:pt>
                <c:pt idx="4">
                  <c:v>25</c:v>
                </c:pt>
              </c:numCache>
            </c:numRef>
          </c:val>
        </c:ser>
        <c:axId val="131708032"/>
        <c:axId val="131685760"/>
      </c:barChart>
      <c:catAx>
        <c:axId val="131682688"/>
        <c:scaling>
          <c:orientation val="minMax"/>
        </c:scaling>
        <c:axPos val="l"/>
        <c:numFmt formatCode="General" sourceLinked="1"/>
        <c:tickLblPos val="nextTo"/>
        <c:crossAx val="131684224"/>
        <c:crosses val="autoZero"/>
        <c:auto val="1"/>
        <c:lblAlgn val="ctr"/>
        <c:lblOffset val="100"/>
      </c:catAx>
      <c:valAx>
        <c:axId val="131684224"/>
        <c:scaling>
          <c:orientation val="minMax"/>
          <c:max val="120"/>
        </c:scaling>
        <c:delete val="1"/>
        <c:axPos val="b"/>
        <c:numFmt formatCode="General" sourceLinked="1"/>
        <c:tickLblPos val="nextTo"/>
        <c:crossAx val="131682688"/>
        <c:crosses val="autoZero"/>
        <c:crossBetween val="between"/>
      </c:valAx>
      <c:valAx>
        <c:axId val="131685760"/>
        <c:scaling>
          <c:orientation val="minMax"/>
          <c:max val="120"/>
        </c:scaling>
        <c:delete val="1"/>
        <c:axPos val="t"/>
        <c:numFmt formatCode="General" sourceLinked="1"/>
        <c:tickLblPos val="nextTo"/>
        <c:crossAx val="131708032"/>
        <c:crosses val="max"/>
        <c:crossBetween val="between"/>
      </c:valAx>
      <c:catAx>
        <c:axId val="131708032"/>
        <c:scaling>
          <c:orientation val="minMax"/>
        </c:scaling>
        <c:delete val="1"/>
        <c:axPos val="l"/>
        <c:numFmt formatCode="General" sourceLinked="1"/>
        <c:tickLblPos val="nextTo"/>
        <c:crossAx val="131685760"/>
        <c:crosses val="autoZero"/>
        <c:auto val="1"/>
        <c:lblAlgn val="ctr"/>
        <c:lblOffset val="100"/>
      </c:catAx>
    </c:plotArea>
    <c:legend>
      <c:legendPos val="r"/>
      <c:txPr>
        <a:bodyPr/>
        <a:lstStyle/>
        <a:p>
          <a:pPr>
            <a:defRPr sz="800"/>
          </a:pPr>
          <a:endParaRPr lang="en-US"/>
        </a:p>
      </c:txPr>
    </c:legend>
    <c:plotVisOnly val="1"/>
    <c:dispBlanksAs val="gap"/>
  </c:chart>
  <c:spPr>
    <a:ln>
      <a:noFill/>
    </a:ln>
  </c:spPr>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21188219151564841"/>
          <c:y val="0.23306401321244771"/>
          <c:w val="0.46741348053142839"/>
          <c:h val="0.47351548419371858"/>
        </c:manualLayout>
      </c:layout>
      <c:radarChart>
        <c:radarStyle val="marker"/>
        <c:ser>
          <c:idx val="0"/>
          <c:order val="0"/>
          <c:tx>
            <c:strRef>
              <c:f>'Production by fields COMP'!$D$101</c:f>
              <c:strCache>
                <c:ptCount val="1"/>
                <c:pt idx="0">
                  <c:v>Russia </c:v>
                </c:pt>
              </c:strCache>
            </c:strRef>
          </c:tx>
          <c:cat>
            <c:strRef>
              <c:f>'Production by fields COMP'!$B$102:$B$111</c:f>
              <c:strCache>
                <c:ptCount val="10"/>
                <c:pt idx="0">
                  <c:v>Arts and Humanities</c:v>
                </c:pt>
                <c:pt idx="1">
                  <c:v>Engineering and technology</c:v>
                </c:pt>
                <c:pt idx="2">
                  <c:v>Medical and Health sciences</c:v>
                </c:pt>
                <c:pt idx="3">
                  <c:v>Social Sciences</c:v>
                </c:pt>
                <c:pt idx="4">
                  <c:v>Other Natural and agricultural sciences</c:v>
                </c:pt>
                <c:pt idx="5">
                  <c:v>Mathematics</c:v>
                </c:pt>
                <c:pt idx="6">
                  <c:v>Physics and Astronomy</c:v>
                </c:pt>
                <c:pt idx="7">
                  <c:v>Biochemistry, Genetics and Molecular Biology</c:v>
                </c:pt>
                <c:pt idx="8">
                  <c:v>Chemistry</c:v>
                </c:pt>
                <c:pt idx="9">
                  <c:v>Computer Science</c:v>
                </c:pt>
              </c:strCache>
            </c:strRef>
          </c:cat>
          <c:val>
            <c:numRef>
              <c:f>'Production by fields COMP'!$D$102:$D$111</c:f>
              <c:numCache>
                <c:formatCode>General</c:formatCode>
                <c:ptCount val="10"/>
                <c:pt idx="0">
                  <c:v>0.23280419576448427</c:v>
                </c:pt>
                <c:pt idx="1">
                  <c:v>1.2834707893239017</c:v>
                </c:pt>
                <c:pt idx="2">
                  <c:v>0.23690570530559787</c:v>
                </c:pt>
                <c:pt idx="3">
                  <c:v>0.28089160246397959</c:v>
                </c:pt>
                <c:pt idx="4">
                  <c:v>1.044217310580094</c:v>
                </c:pt>
                <c:pt idx="5">
                  <c:v>2.1356898584527984</c:v>
                </c:pt>
                <c:pt idx="6">
                  <c:v>3.7432782807926688</c:v>
                </c:pt>
                <c:pt idx="7">
                  <c:v>0.99068266126457638</c:v>
                </c:pt>
                <c:pt idx="8">
                  <c:v>2.3213939879445626</c:v>
                </c:pt>
                <c:pt idx="9">
                  <c:v>0.43884654707451132</c:v>
                </c:pt>
              </c:numCache>
            </c:numRef>
          </c:val>
        </c:ser>
        <c:ser>
          <c:idx val="1"/>
          <c:order val="1"/>
          <c:tx>
            <c:strRef>
              <c:f>'Production by fields COMP'!$K$101</c:f>
              <c:strCache>
                <c:ptCount val="1"/>
                <c:pt idx="0">
                  <c:v>World</c:v>
                </c:pt>
              </c:strCache>
            </c:strRef>
          </c:tx>
          <c:marker>
            <c:symbol val="none"/>
          </c:marker>
          <c:cat>
            <c:strRef>
              <c:f>'Production by fields COMP'!$B$102:$B$111</c:f>
              <c:strCache>
                <c:ptCount val="10"/>
                <c:pt idx="0">
                  <c:v>Arts and Humanities</c:v>
                </c:pt>
                <c:pt idx="1">
                  <c:v>Engineering and technology</c:v>
                </c:pt>
                <c:pt idx="2">
                  <c:v>Medical and Health sciences</c:v>
                </c:pt>
                <c:pt idx="3">
                  <c:v>Social Sciences</c:v>
                </c:pt>
                <c:pt idx="4">
                  <c:v>Other Natural and agricultural sciences</c:v>
                </c:pt>
                <c:pt idx="5">
                  <c:v>Mathematics</c:v>
                </c:pt>
                <c:pt idx="6">
                  <c:v>Physics and Astronomy</c:v>
                </c:pt>
                <c:pt idx="7">
                  <c:v>Biochemistry, Genetics and Molecular Biology</c:v>
                </c:pt>
                <c:pt idx="8">
                  <c:v>Chemistry</c:v>
                </c:pt>
                <c:pt idx="9">
                  <c:v>Computer Science</c:v>
                </c:pt>
              </c:strCache>
            </c:strRef>
          </c:cat>
          <c:val>
            <c:numRef>
              <c:f>'Production by fields COMP'!$K$102:$K$111</c:f>
              <c:numCache>
                <c:formatCode>General</c:formatCode>
                <c:ptCount val="10"/>
                <c:pt idx="0">
                  <c:v>1</c:v>
                </c:pt>
                <c:pt idx="1">
                  <c:v>1</c:v>
                </c:pt>
                <c:pt idx="2">
                  <c:v>1</c:v>
                </c:pt>
                <c:pt idx="3">
                  <c:v>1</c:v>
                </c:pt>
                <c:pt idx="4">
                  <c:v>1</c:v>
                </c:pt>
                <c:pt idx="5">
                  <c:v>1</c:v>
                </c:pt>
                <c:pt idx="6">
                  <c:v>1</c:v>
                </c:pt>
                <c:pt idx="7">
                  <c:v>1</c:v>
                </c:pt>
                <c:pt idx="8">
                  <c:v>1</c:v>
                </c:pt>
                <c:pt idx="9">
                  <c:v>1</c:v>
                </c:pt>
              </c:numCache>
            </c:numRef>
          </c:val>
        </c:ser>
        <c:axId val="131733376"/>
        <c:axId val="131734912"/>
      </c:radarChart>
      <c:catAx>
        <c:axId val="131733376"/>
        <c:scaling>
          <c:orientation val="minMax"/>
        </c:scaling>
        <c:axPos val="b"/>
        <c:majorGridlines/>
        <c:tickLblPos val="nextTo"/>
        <c:txPr>
          <a:bodyPr/>
          <a:lstStyle/>
          <a:p>
            <a:pPr>
              <a:defRPr sz="800"/>
            </a:pPr>
            <a:endParaRPr lang="en-US"/>
          </a:p>
        </c:txPr>
        <c:crossAx val="131734912"/>
        <c:crosses val="autoZero"/>
        <c:auto val="1"/>
        <c:lblAlgn val="ctr"/>
        <c:lblOffset val="100"/>
      </c:catAx>
      <c:valAx>
        <c:axId val="131734912"/>
        <c:scaling>
          <c:orientation val="minMax"/>
          <c:max val="3"/>
          <c:min val="-3"/>
        </c:scaling>
        <c:axPos val="l"/>
        <c:majorGridlines/>
        <c:numFmt formatCode="General" sourceLinked="1"/>
        <c:majorTickMark val="cross"/>
        <c:tickLblPos val="nextTo"/>
        <c:crossAx val="131733376"/>
        <c:crosses val="autoZero"/>
        <c:crossBetween val="between"/>
        <c:majorUnit val="1"/>
      </c:valAx>
      <c:spPr>
        <a:noFill/>
      </c:spPr>
    </c:plotArea>
    <c:legend>
      <c:legendPos val="r"/>
      <c:layout>
        <c:manualLayout>
          <c:xMode val="edge"/>
          <c:yMode val="edge"/>
          <c:x val="0.53100775193798433"/>
          <c:y val="0.86715771892149862"/>
          <c:w val="0.46476622108282994"/>
          <c:h val="0.1149453591028394"/>
        </c:manualLayout>
      </c:layout>
      <c:txPr>
        <a:bodyPr/>
        <a:lstStyle/>
        <a:p>
          <a:pPr>
            <a:defRPr sz="800"/>
          </a:pPr>
          <a:endParaRPr lang="en-US"/>
        </a:p>
      </c:txPr>
    </c:legend>
    <c:plotVisOnly val="1"/>
    <c:dispBlanksAs val="gap"/>
  </c:chart>
  <c:spPr>
    <a:ln>
      <a:noFill/>
    </a:ln>
  </c:spPr>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3284152253894031"/>
          <c:y val="0.25052118485189351"/>
          <c:w val="0.40049799997707725"/>
          <c:h val="0.5823113777444483"/>
        </c:manualLayout>
      </c:layout>
      <c:radarChart>
        <c:radarStyle val="marker"/>
        <c:ser>
          <c:idx val="0"/>
          <c:order val="0"/>
          <c:tx>
            <c:strRef>
              <c:f>'2010-2013 structure publica (2'!$I$190</c:f>
              <c:strCache>
                <c:ptCount val="1"/>
                <c:pt idx="0">
                  <c:v>Russia</c:v>
                </c:pt>
              </c:strCache>
            </c:strRef>
          </c:tx>
          <c:cat>
            <c:strRef>
              <c:f>'2010-2013 structure publica (2'!$A$191:$A$200</c:f>
              <c:strCache>
                <c:ptCount val="10"/>
                <c:pt idx="0">
                  <c:v>Arts and Humanities</c:v>
                </c:pt>
                <c:pt idx="1">
                  <c:v>Engineering and technology</c:v>
                </c:pt>
                <c:pt idx="2">
                  <c:v>Medical and Health sciences</c:v>
                </c:pt>
                <c:pt idx="3">
                  <c:v>Social Sciences</c:v>
                </c:pt>
                <c:pt idx="4">
                  <c:v>Other Natural and Agricultural Science</c:v>
                </c:pt>
                <c:pt idx="5">
                  <c:v>Mathematics</c:v>
                </c:pt>
                <c:pt idx="6">
                  <c:v>Physics and Astronomy</c:v>
                </c:pt>
                <c:pt idx="7">
                  <c:v>Biochemistry, Genetics and Molecular Biology</c:v>
                </c:pt>
                <c:pt idx="8">
                  <c:v>Chemistry</c:v>
                </c:pt>
                <c:pt idx="9">
                  <c:v>Computer Science</c:v>
                </c:pt>
              </c:strCache>
            </c:strRef>
          </c:cat>
          <c:val>
            <c:numRef>
              <c:f>'2010-2013 structure publica (2'!$I$191:$I$200</c:f>
              <c:numCache>
                <c:formatCode>General</c:formatCode>
                <c:ptCount val="10"/>
                <c:pt idx="0">
                  <c:v>0.32037916892944412</c:v>
                </c:pt>
                <c:pt idx="1">
                  <c:v>0.77833388047675045</c:v>
                </c:pt>
                <c:pt idx="2">
                  <c:v>1.2677135021493227</c:v>
                </c:pt>
                <c:pt idx="3">
                  <c:v>0.19969989100831234</c:v>
                </c:pt>
                <c:pt idx="4">
                  <c:v>1.1682837941540318</c:v>
                </c:pt>
                <c:pt idx="5">
                  <c:v>1.4955499945698423</c:v>
                </c:pt>
                <c:pt idx="6">
                  <c:v>2.6224154925551417</c:v>
                </c:pt>
                <c:pt idx="7">
                  <c:v>0.69977912186572233</c:v>
                </c:pt>
                <c:pt idx="8">
                  <c:v>1.4021777604660361</c:v>
                </c:pt>
                <c:pt idx="9">
                  <c:v>0.31138817051679424</c:v>
                </c:pt>
              </c:numCache>
            </c:numRef>
          </c:val>
        </c:ser>
        <c:ser>
          <c:idx val="1"/>
          <c:order val="1"/>
          <c:tx>
            <c:strRef>
              <c:f>'2010-2013 structure publica (2'!$K$190</c:f>
              <c:strCache>
                <c:ptCount val="1"/>
                <c:pt idx="0">
                  <c:v>World</c:v>
                </c:pt>
              </c:strCache>
            </c:strRef>
          </c:tx>
          <c:marker>
            <c:symbol val="none"/>
          </c:marker>
          <c:cat>
            <c:strRef>
              <c:f>'2010-2013 structure publica (2'!$A$191:$A$200</c:f>
              <c:strCache>
                <c:ptCount val="10"/>
                <c:pt idx="0">
                  <c:v>Arts and Humanities</c:v>
                </c:pt>
                <c:pt idx="1">
                  <c:v>Engineering and technology</c:v>
                </c:pt>
                <c:pt idx="2">
                  <c:v>Medical and Health sciences</c:v>
                </c:pt>
                <c:pt idx="3">
                  <c:v>Social Sciences</c:v>
                </c:pt>
                <c:pt idx="4">
                  <c:v>Other Natural and Agricultural Science</c:v>
                </c:pt>
                <c:pt idx="5">
                  <c:v>Mathematics</c:v>
                </c:pt>
                <c:pt idx="6">
                  <c:v>Physics and Astronomy</c:v>
                </c:pt>
                <c:pt idx="7">
                  <c:v>Biochemistry, Genetics and Molecular Biology</c:v>
                </c:pt>
                <c:pt idx="8">
                  <c:v>Chemistry</c:v>
                </c:pt>
                <c:pt idx="9">
                  <c:v>Computer Science</c:v>
                </c:pt>
              </c:strCache>
            </c:strRef>
          </c:cat>
          <c:val>
            <c:numRef>
              <c:f>'2010-2013 structure publica (2'!$K$191:$K$200</c:f>
              <c:numCache>
                <c:formatCode>General</c:formatCode>
                <c:ptCount val="10"/>
                <c:pt idx="0">
                  <c:v>1</c:v>
                </c:pt>
                <c:pt idx="1">
                  <c:v>1</c:v>
                </c:pt>
                <c:pt idx="2">
                  <c:v>1</c:v>
                </c:pt>
                <c:pt idx="3">
                  <c:v>1</c:v>
                </c:pt>
                <c:pt idx="4">
                  <c:v>1</c:v>
                </c:pt>
                <c:pt idx="5">
                  <c:v>1</c:v>
                </c:pt>
                <c:pt idx="6">
                  <c:v>1</c:v>
                </c:pt>
                <c:pt idx="7">
                  <c:v>1</c:v>
                </c:pt>
                <c:pt idx="8">
                  <c:v>1</c:v>
                </c:pt>
                <c:pt idx="9">
                  <c:v>1</c:v>
                </c:pt>
              </c:numCache>
            </c:numRef>
          </c:val>
        </c:ser>
        <c:axId val="131780992"/>
        <c:axId val="131782528"/>
      </c:radarChart>
      <c:catAx>
        <c:axId val="131780992"/>
        <c:scaling>
          <c:orientation val="minMax"/>
        </c:scaling>
        <c:axPos val="b"/>
        <c:majorGridlines/>
        <c:numFmt formatCode="General" sourceLinked="1"/>
        <c:tickLblPos val="nextTo"/>
        <c:txPr>
          <a:bodyPr/>
          <a:lstStyle/>
          <a:p>
            <a:pPr>
              <a:defRPr sz="800"/>
            </a:pPr>
            <a:endParaRPr lang="en-US"/>
          </a:p>
        </c:txPr>
        <c:crossAx val="131782528"/>
        <c:crosses val="autoZero"/>
        <c:lblAlgn val="ctr"/>
        <c:lblOffset val="100"/>
      </c:catAx>
      <c:valAx>
        <c:axId val="131782528"/>
        <c:scaling>
          <c:orientation val="minMax"/>
          <c:min val="-3"/>
        </c:scaling>
        <c:axPos val="l"/>
        <c:majorGridlines/>
        <c:numFmt formatCode="General" sourceLinked="1"/>
        <c:majorTickMark val="cross"/>
        <c:tickLblPos val="nextTo"/>
        <c:crossAx val="131780992"/>
        <c:crosses val="autoZero"/>
        <c:crossBetween val="between"/>
        <c:majorUnit val="1"/>
      </c:valAx>
    </c:plotArea>
    <c:plotVisOnly val="1"/>
    <c:dispBlanksAs val="gap"/>
  </c:chart>
  <c:spPr>
    <a:ln>
      <a:noFill/>
    </a:ln>
  </c:spPr>
  <c:externalData r:id="rId1"/>
</c:chartSpace>
</file>

<file path=word/charts/chart24.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20849291986649832"/>
          <c:y val="0.27489911629263397"/>
          <c:w val="0.31552390827689758"/>
          <c:h val="0.45861258621742063"/>
        </c:manualLayout>
      </c:layout>
      <c:radarChart>
        <c:radarStyle val="marker"/>
        <c:ser>
          <c:idx val="0"/>
          <c:order val="0"/>
          <c:tx>
            <c:strRef>
              <c:f>'Production by fields COMP'!$E$101</c:f>
              <c:strCache>
                <c:ptCount val="1"/>
                <c:pt idx="0">
                  <c:v>Armenia </c:v>
                </c:pt>
              </c:strCache>
            </c:strRef>
          </c:tx>
          <c:cat>
            <c:strRef>
              <c:f>'Production by fields COMP'!$B$102:$B$111</c:f>
              <c:strCache>
                <c:ptCount val="10"/>
                <c:pt idx="0">
                  <c:v>Arts and Humanities</c:v>
                </c:pt>
                <c:pt idx="1">
                  <c:v>Engineering and technology</c:v>
                </c:pt>
                <c:pt idx="2">
                  <c:v>Medical and Health sciences</c:v>
                </c:pt>
                <c:pt idx="3">
                  <c:v>Social Sciences</c:v>
                </c:pt>
                <c:pt idx="4">
                  <c:v>Other Natural and agricultural sciences</c:v>
                </c:pt>
                <c:pt idx="5">
                  <c:v>Mathematics</c:v>
                </c:pt>
                <c:pt idx="6">
                  <c:v>Physics and Astronomy</c:v>
                </c:pt>
                <c:pt idx="7">
                  <c:v>Biochemistry, Genetics and Molecular Biology</c:v>
                </c:pt>
                <c:pt idx="8">
                  <c:v>Chemistry</c:v>
                </c:pt>
                <c:pt idx="9">
                  <c:v>Computer Science</c:v>
                </c:pt>
              </c:strCache>
            </c:strRef>
          </c:cat>
          <c:val>
            <c:numRef>
              <c:f>'Production by fields COMP'!$E$102:$E$111</c:f>
              <c:numCache>
                <c:formatCode>General</c:formatCode>
                <c:ptCount val="10"/>
                <c:pt idx="0">
                  <c:v>0.28804642876364311</c:v>
                </c:pt>
                <c:pt idx="1">
                  <c:v>0.69984119615497098</c:v>
                </c:pt>
                <c:pt idx="2">
                  <c:v>0.33315969269640788</c:v>
                </c:pt>
                <c:pt idx="3">
                  <c:v>0.34927859403103612</c:v>
                </c:pt>
                <c:pt idx="4">
                  <c:v>0.65625385748803988</c:v>
                </c:pt>
                <c:pt idx="5">
                  <c:v>2.6467171974390062</c:v>
                </c:pt>
                <c:pt idx="6">
                  <c:v>6.5474403014344809</c:v>
                </c:pt>
                <c:pt idx="7">
                  <c:v>1.016904872958486</c:v>
                </c:pt>
                <c:pt idx="8">
                  <c:v>1.2937451438636178</c:v>
                </c:pt>
                <c:pt idx="9">
                  <c:v>0.27406698472762187</c:v>
                </c:pt>
              </c:numCache>
            </c:numRef>
          </c:val>
        </c:ser>
        <c:ser>
          <c:idx val="1"/>
          <c:order val="1"/>
          <c:tx>
            <c:strRef>
              <c:f>'Production by fields COMP'!$K$101</c:f>
              <c:strCache>
                <c:ptCount val="1"/>
                <c:pt idx="0">
                  <c:v>World</c:v>
                </c:pt>
              </c:strCache>
            </c:strRef>
          </c:tx>
          <c:marker>
            <c:symbol val="none"/>
          </c:marker>
          <c:cat>
            <c:strRef>
              <c:f>'Production by fields COMP'!$B$102:$B$111</c:f>
              <c:strCache>
                <c:ptCount val="10"/>
                <c:pt idx="0">
                  <c:v>Arts and Humanities</c:v>
                </c:pt>
                <c:pt idx="1">
                  <c:v>Engineering and technology</c:v>
                </c:pt>
                <c:pt idx="2">
                  <c:v>Medical and Health sciences</c:v>
                </c:pt>
                <c:pt idx="3">
                  <c:v>Social Sciences</c:v>
                </c:pt>
                <c:pt idx="4">
                  <c:v>Other Natural and agricultural sciences</c:v>
                </c:pt>
                <c:pt idx="5">
                  <c:v>Mathematics</c:v>
                </c:pt>
                <c:pt idx="6">
                  <c:v>Physics and Astronomy</c:v>
                </c:pt>
                <c:pt idx="7">
                  <c:v>Biochemistry, Genetics and Molecular Biology</c:v>
                </c:pt>
                <c:pt idx="8">
                  <c:v>Chemistry</c:v>
                </c:pt>
                <c:pt idx="9">
                  <c:v>Computer Science</c:v>
                </c:pt>
              </c:strCache>
            </c:strRef>
          </c:cat>
          <c:val>
            <c:numRef>
              <c:f>'Production by fields COMP'!$K$102:$K$111</c:f>
              <c:numCache>
                <c:formatCode>General</c:formatCode>
                <c:ptCount val="10"/>
                <c:pt idx="0">
                  <c:v>1</c:v>
                </c:pt>
                <c:pt idx="1">
                  <c:v>1</c:v>
                </c:pt>
                <c:pt idx="2">
                  <c:v>1</c:v>
                </c:pt>
                <c:pt idx="3">
                  <c:v>1</c:v>
                </c:pt>
                <c:pt idx="4">
                  <c:v>1</c:v>
                </c:pt>
                <c:pt idx="5">
                  <c:v>1</c:v>
                </c:pt>
                <c:pt idx="6">
                  <c:v>1</c:v>
                </c:pt>
                <c:pt idx="7">
                  <c:v>1</c:v>
                </c:pt>
                <c:pt idx="8">
                  <c:v>1</c:v>
                </c:pt>
                <c:pt idx="9">
                  <c:v>1</c:v>
                </c:pt>
              </c:numCache>
            </c:numRef>
          </c:val>
        </c:ser>
        <c:axId val="131827968"/>
        <c:axId val="131837952"/>
      </c:radarChart>
      <c:catAx>
        <c:axId val="131827968"/>
        <c:scaling>
          <c:orientation val="minMax"/>
        </c:scaling>
        <c:axPos val="b"/>
        <c:majorGridlines/>
        <c:tickLblPos val="nextTo"/>
        <c:txPr>
          <a:bodyPr/>
          <a:lstStyle/>
          <a:p>
            <a:pPr>
              <a:defRPr sz="800"/>
            </a:pPr>
            <a:endParaRPr lang="en-US"/>
          </a:p>
        </c:txPr>
        <c:crossAx val="131837952"/>
        <c:crosses val="autoZero"/>
        <c:auto val="1"/>
        <c:lblAlgn val="ctr"/>
        <c:lblOffset val="100"/>
      </c:catAx>
      <c:valAx>
        <c:axId val="131837952"/>
        <c:scaling>
          <c:orientation val="minMax"/>
          <c:min val="-7"/>
        </c:scaling>
        <c:axPos val="l"/>
        <c:majorGridlines/>
        <c:numFmt formatCode="General" sourceLinked="1"/>
        <c:majorTickMark val="cross"/>
        <c:tickLblPos val="nextTo"/>
        <c:crossAx val="131827968"/>
        <c:crosses val="autoZero"/>
        <c:crossBetween val="between"/>
        <c:majorUnit val="2"/>
      </c:valAx>
    </c:plotArea>
    <c:legend>
      <c:legendPos val="r"/>
      <c:layout>
        <c:manualLayout>
          <c:xMode val="edge"/>
          <c:yMode val="edge"/>
          <c:x val="0.75490370802415152"/>
          <c:y val="0.80720360536328328"/>
          <c:w val="0.20394402860136321"/>
          <c:h val="0.1349467944413926"/>
        </c:manualLayout>
      </c:layout>
      <c:txPr>
        <a:bodyPr/>
        <a:lstStyle/>
        <a:p>
          <a:pPr>
            <a:defRPr sz="800"/>
          </a:pPr>
          <a:endParaRPr lang="en-US"/>
        </a:p>
      </c:txPr>
    </c:legend>
    <c:plotVisOnly val="1"/>
    <c:dispBlanksAs val="gap"/>
  </c:chart>
  <c:spPr>
    <a:ln>
      <a:noFill/>
    </a:ln>
  </c:spPr>
  <c:externalData r:id="rId1"/>
</c:chartSpace>
</file>

<file path=word/charts/chart25.xml><?xml version="1.0" encoding="utf-8"?>
<c:chartSpace xmlns:c="http://schemas.openxmlformats.org/drawingml/2006/chart" xmlns:a="http://schemas.openxmlformats.org/drawingml/2006/main" xmlns:r="http://schemas.openxmlformats.org/officeDocument/2006/relationships">
  <c:date1904 val="1"/>
  <c:lang val="en-US"/>
  <c:chart>
    <c:plotArea>
      <c:layout/>
      <c:radarChart>
        <c:radarStyle val="marker"/>
        <c:ser>
          <c:idx val="0"/>
          <c:order val="0"/>
          <c:tx>
            <c:strRef>
              <c:f>'2010-2013 structure publica (2'!$B$190</c:f>
              <c:strCache>
                <c:ptCount val="1"/>
                <c:pt idx="0">
                  <c:v>Armenia</c:v>
                </c:pt>
              </c:strCache>
            </c:strRef>
          </c:tx>
          <c:cat>
            <c:strRef>
              <c:f>'2010-2013 structure publica (2'!$A$191:$A$200</c:f>
              <c:strCache>
                <c:ptCount val="10"/>
                <c:pt idx="0">
                  <c:v>Arts and Humanities</c:v>
                </c:pt>
                <c:pt idx="1">
                  <c:v>Engineering and technology</c:v>
                </c:pt>
                <c:pt idx="2">
                  <c:v>Medical and Health sciences</c:v>
                </c:pt>
                <c:pt idx="3">
                  <c:v>Social Sciences</c:v>
                </c:pt>
                <c:pt idx="4">
                  <c:v>Other Natural and Agricultural Science</c:v>
                </c:pt>
                <c:pt idx="5">
                  <c:v>Mathematics</c:v>
                </c:pt>
                <c:pt idx="6">
                  <c:v>Physics and Astronomy</c:v>
                </c:pt>
                <c:pt idx="7">
                  <c:v>Biochemistry, Genetics and Molecular Biology</c:v>
                </c:pt>
                <c:pt idx="8">
                  <c:v>Chemistry</c:v>
                </c:pt>
                <c:pt idx="9">
                  <c:v>Computer Science</c:v>
                </c:pt>
              </c:strCache>
            </c:strRef>
          </c:cat>
          <c:val>
            <c:numRef>
              <c:f>'2010-2013 structure publica (2'!$B$191:$B$200</c:f>
              <c:numCache>
                <c:formatCode>General</c:formatCode>
                <c:ptCount val="10"/>
                <c:pt idx="0">
                  <c:v>0.3675636718060149</c:v>
                </c:pt>
                <c:pt idx="1">
                  <c:v>0.41827653207027382</c:v>
                </c:pt>
                <c:pt idx="2">
                  <c:v>1.1358969824251131</c:v>
                </c:pt>
                <c:pt idx="3">
                  <c:v>9.1627696812289536E-2</c:v>
                </c:pt>
                <c:pt idx="4">
                  <c:v>0.8949854840935626</c:v>
                </c:pt>
                <c:pt idx="5">
                  <c:v>1.6336938936261658</c:v>
                </c:pt>
                <c:pt idx="6">
                  <c:v>5.3112664205309352</c:v>
                </c:pt>
                <c:pt idx="7">
                  <c:v>0.55201088791542241</c:v>
                </c:pt>
                <c:pt idx="8">
                  <c:v>0.79485333075510001</c:v>
                </c:pt>
                <c:pt idx="9">
                  <c:v>0.16149931794894368</c:v>
                </c:pt>
              </c:numCache>
            </c:numRef>
          </c:val>
        </c:ser>
        <c:ser>
          <c:idx val="1"/>
          <c:order val="1"/>
          <c:tx>
            <c:strRef>
              <c:f>'2010-2013 structure publica (2'!$K$190</c:f>
              <c:strCache>
                <c:ptCount val="1"/>
                <c:pt idx="0">
                  <c:v>World</c:v>
                </c:pt>
              </c:strCache>
            </c:strRef>
          </c:tx>
          <c:marker>
            <c:symbol val="none"/>
          </c:marker>
          <c:cat>
            <c:strRef>
              <c:f>'2010-2013 structure publica (2'!$A$191:$A$200</c:f>
              <c:strCache>
                <c:ptCount val="10"/>
                <c:pt idx="0">
                  <c:v>Arts and Humanities</c:v>
                </c:pt>
                <c:pt idx="1">
                  <c:v>Engineering and technology</c:v>
                </c:pt>
                <c:pt idx="2">
                  <c:v>Medical and Health sciences</c:v>
                </c:pt>
                <c:pt idx="3">
                  <c:v>Social Sciences</c:v>
                </c:pt>
                <c:pt idx="4">
                  <c:v>Other Natural and Agricultural Science</c:v>
                </c:pt>
                <c:pt idx="5">
                  <c:v>Mathematics</c:v>
                </c:pt>
                <c:pt idx="6">
                  <c:v>Physics and Astronomy</c:v>
                </c:pt>
                <c:pt idx="7">
                  <c:v>Biochemistry, Genetics and Molecular Biology</c:v>
                </c:pt>
                <c:pt idx="8">
                  <c:v>Chemistry</c:v>
                </c:pt>
                <c:pt idx="9">
                  <c:v>Computer Science</c:v>
                </c:pt>
              </c:strCache>
            </c:strRef>
          </c:cat>
          <c:val>
            <c:numRef>
              <c:f>'2010-2013 structure publica (2'!$K$191:$K$200</c:f>
              <c:numCache>
                <c:formatCode>General</c:formatCode>
                <c:ptCount val="10"/>
                <c:pt idx="0">
                  <c:v>1</c:v>
                </c:pt>
                <c:pt idx="1">
                  <c:v>1</c:v>
                </c:pt>
                <c:pt idx="2">
                  <c:v>1</c:v>
                </c:pt>
                <c:pt idx="3">
                  <c:v>1</c:v>
                </c:pt>
                <c:pt idx="4">
                  <c:v>1</c:v>
                </c:pt>
                <c:pt idx="5">
                  <c:v>1</c:v>
                </c:pt>
                <c:pt idx="6">
                  <c:v>1</c:v>
                </c:pt>
                <c:pt idx="7">
                  <c:v>1</c:v>
                </c:pt>
                <c:pt idx="8">
                  <c:v>1</c:v>
                </c:pt>
                <c:pt idx="9">
                  <c:v>1</c:v>
                </c:pt>
              </c:numCache>
            </c:numRef>
          </c:val>
        </c:ser>
        <c:axId val="131851008"/>
        <c:axId val="131852544"/>
      </c:radarChart>
      <c:catAx>
        <c:axId val="131851008"/>
        <c:scaling>
          <c:orientation val="minMax"/>
        </c:scaling>
        <c:axPos val="b"/>
        <c:majorGridlines/>
        <c:tickLblPos val="nextTo"/>
        <c:crossAx val="131852544"/>
        <c:crosses val="autoZero"/>
        <c:auto val="1"/>
        <c:lblAlgn val="ctr"/>
        <c:lblOffset val="100"/>
      </c:catAx>
      <c:valAx>
        <c:axId val="131852544"/>
        <c:scaling>
          <c:orientation val="minMax"/>
          <c:max val="7"/>
          <c:min val="-7"/>
        </c:scaling>
        <c:axPos val="l"/>
        <c:majorGridlines/>
        <c:numFmt formatCode="General" sourceLinked="1"/>
        <c:majorTickMark val="cross"/>
        <c:tickLblPos val="nextTo"/>
        <c:crossAx val="131851008"/>
        <c:crosses val="autoZero"/>
        <c:crossBetween val="between"/>
      </c:valAx>
    </c:plotArea>
    <c:plotVisOnly val="1"/>
    <c:dispBlanksAs val="gap"/>
  </c:chart>
  <c:spPr>
    <a:ln>
      <a:noFill/>
    </a:ln>
  </c:spPr>
  <c:txPr>
    <a:bodyPr/>
    <a:lstStyle/>
    <a:p>
      <a:pPr>
        <a:defRPr sz="800"/>
      </a:pPr>
      <a:endParaRPr lang="en-US"/>
    </a:p>
  </c:txPr>
  <c:externalData r:id="rId1"/>
</c:chartSpace>
</file>

<file path=word/charts/chart26.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18882363065272584"/>
          <c:y val="0.31845056624189405"/>
          <c:w val="0.46349247327690607"/>
          <c:h val="0.5580849399396105"/>
        </c:manualLayout>
      </c:layout>
      <c:radarChart>
        <c:radarStyle val="marker"/>
        <c:ser>
          <c:idx val="0"/>
          <c:order val="0"/>
          <c:tx>
            <c:strRef>
              <c:f>'Production by fields COMP'!$F$101</c:f>
              <c:strCache>
                <c:ptCount val="1"/>
                <c:pt idx="0">
                  <c:v>Azerbaijan </c:v>
                </c:pt>
              </c:strCache>
            </c:strRef>
          </c:tx>
          <c:cat>
            <c:strRef>
              <c:f>'Production by fields COMP'!$B$102:$B$112</c:f>
              <c:strCache>
                <c:ptCount val="11"/>
                <c:pt idx="0">
                  <c:v>Arts and Humanities</c:v>
                </c:pt>
                <c:pt idx="1">
                  <c:v>Engineering and technology</c:v>
                </c:pt>
                <c:pt idx="2">
                  <c:v>Medical and Health sciences</c:v>
                </c:pt>
                <c:pt idx="3">
                  <c:v>Social Sciences</c:v>
                </c:pt>
                <c:pt idx="4">
                  <c:v>Interdisciplinary</c:v>
                </c:pt>
                <c:pt idx="5">
                  <c:v>Other Natural and agricultural sciences</c:v>
                </c:pt>
                <c:pt idx="6">
                  <c:v>Mathematics</c:v>
                </c:pt>
                <c:pt idx="7">
                  <c:v>Physics and Astronomy</c:v>
                </c:pt>
                <c:pt idx="8">
                  <c:v>Biochemistry, Genetics and Molecular Biology</c:v>
                </c:pt>
                <c:pt idx="9">
                  <c:v>Chemistry</c:v>
                </c:pt>
                <c:pt idx="10">
                  <c:v>Computer Science</c:v>
                </c:pt>
              </c:strCache>
            </c:strRef>
          </c:cat>
          <c:val>
            <c:numRef>
              <c:f>'Production by fields COMP'!$F$102:$F$112</c:f>
              <c:numCache>
                <c:formatCode>General</c:formatCode>
                <c:ptCount val="11"/>
                <c:pt idx="0">
                  <c:v>0.21746601460267723</c:v>
                </c:pt>
                <c:pt idx="1">
                  <c:v>1.3925718459541452</c:v>
                </c:pt>
                <c:pt idx="2">
                  <c:v>0.59861173890318065</c:v>
                </c:pt>
                <c:pt idx="3">
                  <c:v>0.45788791195700512</c:v>
                </c:pt>
                <c:pt idx="4">
                  <c:v>0.6409919464540792</c:v>
                </c:pt>
                <c:pt idx="5">
                  <c:v>0.57698099135458025</c:v>
                </c:pt>
                <c:pt idx="6">
                  <c:v>2.4193752045960797</c:v>
                </c:pt>
                <c:pt idx="7">
                  <c:v>2.9845204310793942</c:v>
                </c:pt>
                <c:pt idx="8">
                  <c:v>0.53062242729820419</c:v>
                </c:pt>
                <c:pt idx="9">
                  <c:v>1.9925434492368983</c:v>
                </c:pt>
                <c:pt idx="10">
                  <c:v>0.52023581793156504</c:v>
                </c:pt>
              </c:numCache>
            </c:numRef>
          </c:val>
        </c:ser>
        <c:ser>
          <c:idx val="1"/>
          <c:order val="1"/>
          <c:tx>
            <c:strRef>
              <c:f>'Production by fields COMP'!$K$101</c:f>
              <c:strCache>
                <c:ptCount val="1"/>
                <c:pt idx="0">
                  <c:v>World</c:v>
                </c:pt>
              </c:strCache>
            </c:strRef>
          </c:tx>
          <c:marker>
            <c:symbol val="none"/>
          </c:marker>
          <c:cat>
            <c:strRef>
              <c:f>'Production by fields COMP'!$B$102:$B$112</c:f>
              <c:strCache>
                <c:ptCount val="11"/>
                <c:pt idx="0">
                  <c:v>Arts and Humanities</c:v>
                </c:pt>
                <c:pt idx="1">
                  <c:v>Engineering and technology</c:v>
                </c:pt>
                <c:pt idx="2">
                  <c:v>Medical and Health sciences</c:v>
                </c:pt>
                <c:pt idx="3">
                  <c:v>Social Sciences</c:v>
                </c:pt>
                <c:pt idx="4">
                  <c:v>Interdisciplinary</c:v>
                </c:pt>
                <c:pt idx="5">
                  <c:v>Other Natural and agricultural sciences</c:v>
                </c:pt>
                <c:pt idx="6">
                  <c:v>Mathematics</c:v>
                </c:pt>
                <c:pt idx="7">
                  <c:v>Physics and Astronomy</c:v>
                </c:pt>
                <c:pt idx="8">
                  <c:v>Biochemistry, Genetics and Molecular Biology</c:v>
                </c:pt>
                <c:pt idx="9">
                  <c:v>Chemistry</c:v>
                </c:pt>
                <c:pt idx="10">
                  <c:v>Computer Science</c:v>
                </c:pt>
              </c:strCache>
            </c:strRef>
          </c:cat>
          <c:val>
            <c:numRef>
              <c:f>'Production by fields COMP'!$K$102:$K$112</c:f>
              <c:numCache>
                <c:formatCode>General</c:formatCode>
                <c:ptCount val="11"/>
                <c:pt idx="0">
                  <c:v>1</c:v>
                </c:pt>
                <c:pt idx="1">
                  <c:v>1</c:v>
                </c:pt>
                <c:pt idx="2">
                  <c:v>1</c:v>
                </c:pt>
                <c:pt idx="3">
                  <c:v>1</c:v>
                </c:pt>
                <c:pt idx="4">
                  <c:v>1</c:v>
                </c:pt>
                <c:pt idx="5">
                  <c:v>1</c:v>
                </c:pt>
                <c:pt idx="6">
                  <c:v>1</c:v>
                </c:pt>
                <c:pt idx="7">
                  <c:v>1</c:v>
                </c:pt>
                <c:pt idx="8">
                  <c:v>1</c:v>
                </c:pt>
                <c:pt idx="9">
                  <c:v>1</c:v>
                </c:pt>
                <c:pt idx="10">
                  <c:v>1</c:v>
                </c:pt>
              </c:numCache>
            </c:numRef>
          </c:val>
        </c:ser>
        <c:axId val="131881600"/>
        <c:axId val="131895680"/>
      </c:radarChart>
      <c:catAx>
        <c:axId val="131881600"/>
        <c:scaling>
          <c:orientation val="minMax"/>
        </c:scaling>
        <c:axPos val="b"/>
        <c:majorGridlines/>
        <c:tickLblPos val="nextTo"/>
        <c:txPr>
          <a:bodyPr/>
          <a:lstStyle/>
          <a:p>
            <a:pPr>
              <a:defRPr sz="800"/>
            </a:pPr>
            <a:endParaRPr lang="en-US"/>
          </a:p>
        </c:txPr>
        <c:crossAx val="131895680"/>
        <c:crosses val="autoZero"/>
        <c:auto val="1"/>
        <c:lblAlgn val="ctr"/>
        <c:lblOffset val="100"/>
      </c:catAx>
      <c:valAx>
        <c:axId val="131895680"/>
        <c:scaling>
          <c:orientation val="minMax"/>
          <c:max val="3"/>
          <c:min val="-3"/>
        </c:scaling>
        <c:axPos val="l"/>
        <c:majorGridlines/>
        <c:numFmt formatCode="General" sourceLinked="1"/>
        <c:majorTickMark val="cross"/>
        <c:tickLblPos val="nextTo"/>
        <c:crossAx val="131881600"/>
        <c:crosses val="autoZero"/>
        <c:crossBetween val="between"/>
        <c:majorUnit val="1"/>
      </c:valAx>
    </c:plotArea>
    <c:legend>
      <c:legendPos val="r"/>
      <c:layout>
        <c:manualLayout>
          <c:xMode val="edge"/>
          <c:yMode val="edge"/>
          <c:x val="0.79488114373300234"/>
          <c:y val="0.87018556890914955"/>
          <c:w val="0.20511885626699769"/>
          <c:h val="0.12981443109085053"/>
        </c:manualLayout>
      </c:layout>
      <c:txPr>
        <a:bodyPr/>
        <a:lstStyle/>
        <a:p>
          <a:pPr>
            <a:defRPr sz="800"/>
          </a:pPr>
          <a:endParaRPr lang="en-US"/>
        </a:p>
      </c:txPr>
    </c:legend>
    <c:plotVisOnly val="1"/>
    <c:dispBlanksAs val="gap"/>
  </c:chart>
  <c:spPr>
    <a:ln>
      <a:noFill/>
    </a:ln>
  </c:spPr>
  <c:externalData r:id="rId1"/>
</c:chartSpace>
</file>

<file path=word/charts/chart27.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2632821840666143"/>
          <c:y val="0.22382921474438336"/>
          <c:w val="0.47923042638538105"/>
          <c:h val="0.60568596378282902"/>
        </c:manualLayout>
      </c:layout>
      <c:radarChart>
        <c:radarStyle val="marker"/>
        <c:ser>
          <c:idx val="0"/>
          <c:order val="0"/>
          <c:tx>
            <c:strRef>
              <c:f>'2010-2013 structure publica (2'!$C$190</c:f>
              <c:strCache>
                <c:ptCount val="1"/>
                <c:pt idx="0">
                  <c:v>Azerbaijan</c:v>
                </c:pt>
              </c:strCache>
            </c:strRef>
          </c:tx>
          <c:cat>
            <c:strRef>
              <c:f>'2010-2013 structure publica (2'!$A$191:$A$200</c:f>
              <c:strCache>
                <c:ptCount val="10"/>
                <c:pt idx="0">
                  <c:v>Arts and Humanities</c:v>
                </c:pt>
                <c:pt idx="1">
                  <c:v>Engineering and technology</c:v>
                </c:pt>
                <c:pt idx="2">
                  <c:v>Medical and Health sciences</c:v>
                </c:pt>
                <c:pt idx="3">
                  <c:v>Social Sciences</c:v>
                </c:pt>
                <c:pt idx="4">
                  <c:v>Other Natural and Agricultural Science</c:v>
                </c:pt>
                <c:pt idx="5">
                  <c:v>Mathematics</c:v>
                </c:pt>
                <c:pt idx="6">
                  <c:v>Physics and Astronomy</c:v>
                </c:pt>
                <c:pt idx="7">
                  <c:v>Biochemistry, Genetics and Molecular Biology</c:v>
                </c:pt>
                <c:pt idx="8">
                  <c:v>Chemistry</c:v>
                </c:pt>
                <c:pt idx="9">
                  <c:v>Computer Science</c:v>
                </c:pt>
              </c:strCache>
            </c:strRef>
          </c:cat>
          <c:val>
            <c:numRef>
              <c:f>'2010-2013 structure publica (2'!$C$191:$C$200</c:f>
              <c:numCache>
                <c:formatCode>General</c:formatCode>
                <c:ptCount val="10"/>
                <c:pt idx="0">
                  <c:v>0.16426870489705434</c:v>
                </c:pt>
                <c:pt idx="1">
                  <c:v>0.8937653196585239</c:v>
                </c:pt>
                <c:pt idx="2">
                  <c:v>0.9728055465230816</c:v>
                </c:pt>
                <c:pt idx="3">
                  <c:v>0.18829582960761271</c:v>
                </c:pt>
                <c:pt idx="4">
                  <c:v>1.2516172186448165</c:v>
                </c:pt>
                <c:pt idx="5">
                  <c:v>2.7963945412657369</c:v>
                </c:pt>
                <c:pt idx="6">
                  <c:v>2.7182211665320812</c:v>
                </c:pt>
                <c:pt idx="7">
                  <c:v>0.21237290666478759</c:v>
                </c:pt>
                <c:pt idx="8">
                  <c:v>1.514863779189519</c:v>
                </c:pt>
                <c:pt idx="9">
                  <c:v>0.55991096146979369</c:v>
                </c:pt>
              </c:numCache>
            </c:numRef>
          </c:val>
        </c:ser>
        <c:ser>
          <c:idx val="1"/>
          <c:order val="1"/>
          <c:tx>
            <c:strRef>
              <c:f>'2010-2013 structure publica (2'!$K$190</c:f>
              <c:strCache>
                <c:ptCount val="1"/>
                <c:pt idx="0">
                  <c:v>World</c:v>
                </c:pt>
              </c:strCache>
            </c:strRef>
          </c:tx>
          <c:marker>
            <c:symbol val="none"/>
          </c:marker>
          <c:cat>
            <c:strRef>
              <c:f>'2010-2013 structure publica (2'!$A$191:$A$200</c:f>
              <c:strCache>
                <c:ptCount val="10"/>
                <c:pt idx="0">
                  <c:v>Arts and Humanities</c:v>
                </c:pt>
                <c:pt idx="1">
                  <c:v>Engineering and technology</c:v>
                </c:pt>
                <c:pt idx="2">
                  <c:v>Medical and Health sciences</c:v>
                </c:pt>
                <c:pt idx="3">
                  <c:v>Social Sciences</c:v>
                </c:pt>
                <c:pt idx="4">
                  <c:v>Other Natural and Agricultural Science</c:v>
                </c:pt>
                <c:pt idx="5">
                  <c:v>Mathematics</c:v>
                </c:pt>
                <c:pt idx="6">
                  <c:v>Physics and Astronomy</c:v>
                </c:pt>
                <c:pt idx="7">
                  <c:v>Biochemistry, Genetics and Molecular Biology</c:v>
                </c:pt>
                <c:pt idx="8">
                  <c:v>Chemistry</c:v>
                </c:pt>
                <c:pt idx="9">
                  <c:v>Computer Science</c:v>
                </c:pt>
              </c:strCache>
            </c:strRef>
          </c:cat>
          <c:val>
            <c:numRef>
              <c:f>'2010-2013 structure publica (2'!$K$191:$K$200</c:f>
              <c:numCache>
                <c:formatCode>General</c:formatCode>
                <c:ptCount val="10"/>
                <c:pt idx="0">
                  <c:v>1</c:v>
                </c:pt>
                <c:pt idx="1">
                  <c:v>1</c:v>
                </c:pt>
                <c:pt idx="2">
                  <c:v>1</c:v>
                </c:pt>
                <c:pt idx="3">
                  <c:v>1</c:v>
                </c:pt>
                <c:pt idx="4">
                  <c:v>1</c:v>
                </c:pt>
                <c:pt idx="5">
                  <c:v>1</c:v>
                </c:pt>
                <c:pt idx="6">
                  <c:v>1</c:v>
                </c:pt>
                <c:pt idx="7">
                  <c:v>1</c:v>
                </c:pt>
                <c:pt idx="8">
                  <c:v>1</c:v>
                </c:pt>
                <c:pt idx="9">
                  <c:v>1</c:v>
                </c:pt>
              </c:numCache>
            </c:numRef>
          </c:val>
        </c:ser>
        <c:axId val="131921024"/>
        <c:axId val="131922560"/>
      </c:radarChart>
      <c:catAx>
        <c:axId val="131921024"/>
        <c:scaling>
          <c:orientation val="minMax"/>
        </c:scaling>
        <c:axPos val="b"/>
        <c:majorGridlines/>
        <c:tickLblPos val="nextTo"/>
        <c:txPr>
          <a:bodyPr/>
          <a:lstStyle/>
          <a:p>
            <a:pPr>
              <a:defRPr sz="800"/>
            </a:pPr>
            <a:endParaRPr lang="en-US"/>
          </a:p>
        </c:txPr>
        <c:crossAx val="131922560"/>
        <c:crosses val="autoZero"/>
        <c:auto val="1"/>
        <c:lblAlgn val="ctr"/>
        <c:lblOffset val="100"/>
      </c:catAx>
      <c:valAx>
        <c:axId val="131922560"/>
        <c:scaling>
          <c:orientation val="minMax"/>
          <c:min val="-3"/>
        </c:scaling>
        <c:axPos val="l"/>
        <c:majorGridlines/>
        <c:numFmt formatCode="General" sourceLinked="1"/>
        <c:majorTickMark val="cross"/>
        <c:tickLblPos val="nextTo"/>
        <c:crossAx val="131921024"/>
        <c:crosses val="autoZero"/>
        <c:crossBetween val="between"/>
        <c:majorUnit val="1"/>
        <c:minorUnit val="0.4"/>
      </c:valAx>
    </c:plotArea>
    <c:plotVisOnly val="1"/>
    <c:dispBlanksAs val="gap"/>
  </c:chart>
  <c:spPr>
    <a:ln>
      <a:noFill/>
    </a:ln>
  </c:spPr>
  <c:externalData r:id="rId1"/>
</c:chartSpace>
</file>

<file path=word/charts/chart28.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20988834728992217"/>
          <c:y val="0.31413064892312181"/>
          <c:w val="0.32145416346766204"/>
          <c:h val="0.43615755657661426"/>
        </c:manualLayout>
      </c:layout>
      <c:radarChart>
        <c:radarStyle val="marker"/>
        <c:ser>
          <c:idx val="0"/>
          <c:order val="0"/>
          <c:tx>
            <c:strRef>
              <c:f>'Production by fields COMP'!$G$101</c:f>
              <c:strCache>
                <c:ptCount val="1"/>
                <c:pt idx="0">
                  <c:v>Ukraine</c:v>
                </c:pt>
              </c:strCache>
            </c:strRef>
          </c:tx>
          <c:cat>
            <c:strRef>
              <c:f>'Production by fields COMP'!$B$102:$B$111</c:f>
              <c:strCache>
                <c:ptCount val="10"/>
                <c:pt idx="0">
                  <c:v>Arts and Humanities</c:v>
                </c:pt>
                <c:pt idx="1">
                  <c:v>Engineering and technology</c:v>
                </c:pt>
                <c:pt idx="2">
                  <c:v>Medical and Health sciences</c:v>
                </c:pt>
                <c:pt idx="3">
                  <c:v>Social Sciences</c:v>
                </c:pt>
                <c:pt idx="4">
                  <c:v>Other Natural and agricultural sciences</c:v>
                </c:pt>
                <c:pt idx="5">
                  <c:v>Mathematics</c:v>
                </c:pt>
                <c:pt idx="6">
                  <c:v>Physics and Astronomy</c:v>
                </c:pt>
                <c:pt idx="7">
                  <c:v>Biochemistry, Genetics and Molecular Biology</c:v>
                </c:pt>
                <c:pt idx="8">
                  <c:v>Chemistry</c:v>
                </c:pt>
                <c:pt idx="9">
                  <c:v>Computer Science</c:v>
                </c:pt>
              </c:strCache>
            </c:strRef>
          </c:cat>
          <c:val>
            <c:numRef>
              <c:f>'Production by fields COMP'!$G$102:$G$111</c:f>
              <c:numCache>
                <c:formatCode>General</c:formatCode>
                <c:ptCount val="10"/>
                <c:pt idx="0">
                  <c:v>0.12025538521527036</c:v>
                </c:pt>
                <c:pt idx="1">
                  <c:v>1.8244138789901281</c:v>
                </c:pt>
                <c:pt idx="2">
                  <c:v>0.12842102942778322</c:v>
                </c:pt>
                <c:pt idx="3">
                  <c:v>0.13519339623008333</c:v>
                </c:pt>
                <c:pt idx="4">
                  <c:v>0.71519139261946574</c:v>
                </c:pt>
                <c:pt idx="5">
                  <c:v>2.1828528326131127</c:v>
                </c:pt>
                <c:pt idx="6">
                  <c:v>4.0650781507813871</c:v>
                </c:pt>
                <c:pt idx="7">
                  <c:v>0.76568038829324669</c:v>
                </c:pt>
                <c:pt idx="8">
                  <c:v>1.9984463576233187</c:v>
                </c:pt>
                <c:pt idx="9">
                  <c:v>0.44024134481265836</c:v>
                </c:pt>
              </c:numCache>
            </c:numRef>
          </c:val>
        </c:ser>
        <c:ser>
          <c:idx val="1"/>
          <c:order val="1"/>
          <c:tx>
            <c:strRef>
              <c:f>'Production by fields COMP'!$K$101</c:f>
              <c:strCache>
                <c:ptCount val="1"/>
                <c:pt idx="0">
                  <c:v>World</c:v>
                </c:pt>
              </c:strCache>
            </c:strRef>
          </c:tx>
          <c:marker>
            <c:symbol val="none"/>
          </c:marker>
          <c:cat>
            <c:strRef>
              <c:f>'Production by fields COMP'!$B$102:$B$111</c:f>
              <c:strCache>
                <c:ptCount val="10"/>
                <c:pt idx="0">
                  <c:v>Arts and Humanities</c:v>
                </c:pt>
                <c:pt idx="1">
                  <c:v>Engineering and technology</c:v>
                </c:pt>
                <c:pt idx="2">
                  <c:v>Medical and Health sciences</c:v>
                </c:pt>
                <c:pt idx="3">
                  <c:v>Social Sciences</c:v>
                </c:pt>
                <c:pt idx="4">
                  <c:v>Other Natural and agricultural sciences</c:v>
                </c:pt>
                <c:pt idx="5">
                  <c:v>Mathematics</c:v>
                </c:pt>
                <c:pt idx="6">
                  <c:v>Physics and Astronomy</c:v>
                </c:pt>
                <c:pt idx="7">
                  <c:v>Biochemistry, Genetics and Molecular Biology</c:v>
                </c:pt>
                <c:pt idx="8">
                  <c:v>Chemistry</c:v>
                </c:pt>
                <c:pt idx="9">
                  <c:v>Computer Science</c:v>
                </c:pt>
              </c:strCache>
            </c:strRef>
          </c:cat>
          <c:val>
            <c:numRef>
              <c:f>'Production by fields COMP'!$K$102:$K$111</c:f>
              <c:numCache>
                <c:formatCode>General</c:formatCode>
                <c:ptCount val="10"/>
                <c:pt idx="0">
                  <c:v>1</c:v>
                </c:pt>
                <c:pt idx="1">
                  <c:v>1</c:v>
                </c:pt>
                <c:pt idx="2">
                  <c:v>1</c:v>
                </c:pt>
                <c:pt idx="3">
                  <c:v>1</c:v>
                </c:pt>
                <c:pt idx="4">
                  <c:v>1</c:v>
                </c:pt>
                <c:pt idx="5">
                  <c:v>1</c:v>
                </c:pt>
                <c:pt idx="6">
                  <c:v>1</c:v>
                </c:pt>
                <c:pt idx="7">
                  <c:v>1</c:v>
                </c:pt>
                <c:pt idx="8">
                  <c:v>1</c:v>
                </c:pt>
                <c:pt idx="9">
                  <c:v>1</c:v>
                </c:pt>
              </c:numCache>
            </c:numRef>
          </c:val>
        </c:ser>
        <c:axId val="131955712"/>
        <c:axId val="131965696"/>
      </c:radarChart>
      <c:catAx>
        <c:axId val="131955712"/>
        <c:scaling>
          <c:orientation val="minMax"/>
        </c:scaling>
        <c:axPos val="b"/>
        <c:majorGridlines/>
        <c:tickLblPos val="nextTo"/>
        <c:txPr>
          <a:bodyPr/>
          <a:lstStyle/>
          <a:p>
            <a:pPr>
              <a:defRPr sz="800"/>
            </a:pPr>
            <a:endParaRPr lang="en-US"/>
          </a:p>
        </c:txPr>
        <c:crossAx val="131965696"/>
        <c:crosses val="autoZero"/>
        <c:auto val="1"/>
        <c:lblAlgn val="ctr"/>
        <c:lblOffset val="100"/>
      </c:catAx>
      <c:valAx>
        <c:axId val="131965696"/>
        <c:scaling>
          <c:orientation val="minMax"/>
          <c:max val="4"/>
          <c:min val="-4"/>
        </c:scaling>
        <c:axPos val="l"/>
        <c:majorGridlines/>
        <c:numFmt formatCode="General" sourceLinked="1"/>
        <c:majorTickMark val="cross"/>
        <c:tickLblPos val="nextTo"/>
        <c:crossAx val="131955712"/>
        <c:crosses val="autoZero"/>
        <c:crossBetween val="between"/>
        <c:majorUnit val="1"/>
      </c:valAx>
    </c:plotArea>
    <c:legend>
      <c:legendPos val="r"/>
      <c:layout>
        <c:manualLayout>
          <c:xMode val="edge"/>
          <c:yMode val="edge"/>
          <c:x val="0.77925110551657273"/>
          <c:y val="0.85646762375042107"/>
          <c:w val="0.20941102600270209"/>
          <c:h val="0.12645135459762452"/>
        </c:manualLayout>
      </c:layout>
      <c:txPr>
        <a:bodyPr/>
        <a:lstStyle/>
        <a:p>
          <a:pPr>
            <a:defRPr sz="800"/>
          </a:pPr>
          <a:endParaRPr lang="en-US"/>
        </a:p>
      </c:txPr>
    </c:legend>
    <c:plotVisOnly val="1"/>
    <c:dispBlanksAs val="gap"/>
  </c:chart>
  <c:spPr>
    <a:ln>
      <a:noFill/>
    </a:ln>
  </c:spPr>
  <c:externalData r:id="rId1"/>
</c:chartSpace>
</file>

<file path=word/charts/chart29.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26758795004884489"/>
          <c:y val="0.24431632578435442"/>
          <c:w val="0.43492873368407453"/>
          <c:h val="0.60055174991670912"/>
        </c:manualLayout>
      </c:layout>
      <c:radarChart>
        <c:radarStyle val="marker"/>
        <c:ser>
          <c:idx val="0"/>
          <c:order val="0"/>
          <c:tx>
            <c:strRef>
              <c:f>'2010-2013 structure publica (2'!$J$190</c:f>
              <c:strCache>
                <c:ptCount val="1"/>
                <c:pt idx="0">
                  <c:v>Ukraine</c:v>
                </c:pt>
              </c:strCache>
            </c:strRef>
          </c:tx>
          <c:cat>
            <c:strRef>
              <c:f>'2010-2013 structure publica (2'!$A$191:$A$200</c:f>
              <c:strCache>
                <c:ptCount val="10"/>
                <c:pt idx="0">
                  <c:v>Arts and Humanities</c:v>
                </c:pt>
                <c:pt idx="1">
                  <c:v>Engineering and technology</c:v>
                </c:pt>
                <c:pt idx="2">
                  <c:v>Medical and Health sciences</c:v>
                </c:pt>
                <c:pt idx="3">
                  <c:v>Social Sciences</c:v>
                </c:pt>
                <c:pt idx="4">
                  <c:v>Other Natural and Agricultural Science</c:v>
                </c:pt>
                <c:pt idx="5">
                  <c:v>Mathematics</c:v>
                </c:pt>
                <c:pt idx="6">
                  <c:v>Physics and Astronomy</c:v>
                </c:pt>
                <c:pt idx="7">
                  <c:v>Biochemistry, Genetics and Molecular Biology</c:v>
                </c:pt>
                <c:pt idx="8">
                  <c:v>Chemistry</c:v>
                </c:pt>
                <c:pt idx="9">
                  <c:v>Computer Science</c:v>
                </c:pt>
              </c:strCache>
            </c:strRef>
          </c:cat>
          <c:val>
            <c:numRef>
              <c:f>'2010-2013 structure publica (2'!$J$191:$J$200</c:f>
              <c:numCache>
                <c:formatCode>General</c:formatCode>
                <c:ptCount val="10"/>
                <c:pt idx="0">
                  <c:v>8.8713654832144981E-2</c:v>
                </c:pt>
                <c:pt idx="1">
                  <c:v>1.0804439873531435</c:v>
                </c:pt>
                <c:pt idx="2">
                  <c:v>0.82971904891372594</c:v>
                </c:pt>
                <c:pt idx="3">
                  <c:v>0.45352157273018401</c:v>
                </c:pt>
                <c:pt idx="4">
                  <c:v>0.68277262855705145</c:v>
                </c:pt>
                <c:pt idx="5">
                  <c:v>1.561883589148608</c:v>
                </c:pt>
                <c:pt idx="6">
                  <c:v>3.0438042697857179</c:v>
                </c:pt>
                <c:pt idx="7">
                  <c:v>0.39733675902267679</c:v>
                </c:pt>
                <c:pt idx="8">
                  <c:v>1.3095674795074144</c:v>
                </c:pt>
                <c:pt idx="9">
                  <c:v>0.16630959190937805</c:v>
                </c:pt>
              </c:numCache>
            </c:numRef>
          </c:val>
        </c:ser>
        <c:ser>
          <c:idx val="1"/>
          <c:order val="1"/>
          <c:tx>
            <c:strRef>
              <c:f>'2010-2013 structure publica (2'!$K$190</c:f>
              <c:strCache>
                <c:ptCount val="1"/>
                <c:pt idx="0">
                  <c:v>World</c:v>
                </c:pt>
              </c:strCache>
            </c:strRef>
          </c:tx>
          <c:marker>
            <c:symbol val="none"/>
          </c:marker>
          <c:cat>
            <c:strRef>
              <c:f>'2010-2013 structure publica (2'!$A$191:$A$200</c:f>
              <c:strCache>
                <c:ptCount val="10"/>
                <c:pt idx="0">
                  <c:v>Arts and Humanities</c:v>
                </c:pt>
                <c:pt idx="1">
                  <c:v>Engineering and technology</c:v>
                </c:pt>
                <c:pt idx="2">
                  <c:v>Medical and Health sciences</c:v>
                </c:pt>
                <c:pt idx="3">
                  <c:v>Social Sciences</c:v>
                </c:pt>
                <c:pt idx="4">
                  <c:v>Other Natural and Agricultural Science</c:v>
                </c:pt>
                <c:pt idx="5">
                  <c:v>Mathematics</c:v>
                </c:pt>
                <c:pt idx="6">
                  <c:v>Physics and Astronomy</c:v>
                </c:pt>
                <c:pt idx="7">
                  <c:v>Biochemistry, Genetics and Molecular Biology</c:v>
                </c:pt>
                <c:pt idx="8">
                  <c:v>Chemistry</c:v>
                </c:pt>
                <c:pt idx="9">
                  <c:v>Computer Science</c:v>
                </c:pt>
              </c:strCache>
            </c:strRef>
          </c:cat>
          <c:val>
            <c:numRef>
              <c:f>'2010-2013 structure publica (2'!$K$191:$K$200</c:f>
              <c:numCache>
                <c:formatCode>General</c:formatCode>
                <c:ptCount val="10"/>
                <c:pt idx="0">
                  <c:v>1</c:v>
                </c:pt>
                <c:pt idx="1">
                  <c:v>1</c:v>
                </c:pt>
                <c:pt idx="2">
                  <c:v>1</c:v>
                </c:pt>
                <c:pt idx="3">
                  <c:v>1</c:v>
                </c:pt>
                <c:pt idx="4">
                  <c:v>1</c:v>
                </c:pt>
                <c:pt idx="5">
                  <c:v>1</c:v>
                </c:pt>
                <c:pt idx="6">
                  <c:v>1</c:v>
                </c:pt>
                <c:pt idx="7">
                  <c:v>1</c:v>
                </c:pt>
                <c:pt idx="8">
                  <c:v>1</c:v>
                </c:pt>
                <c:pt idx="9">
                  <c:v>1</c:v>
                </c:pt>
              </c:numCache>
            </c:numRef>
          </c:val>
        </c:ser>
        <c:axId val="131999232"/>
        <c:axId val="132000768"/>
      </c:radarChart>
      <c:catAx>
        <c:axId val="131999232"/>
        <c:scaling>
          <c:orientation val="minMax"/>
        </c:scaling>
        <c:axPos val="b"/>
        <c:majorGridlines/>
        <c:tickLblPos val="nextTo"/>
        <c:crossAx val="132000768"/>
        <c:crosses val="autoZero"/>
        <c:auto val="1"/>
        <c:lblAlgn val="ctr"/>
        <c:lblOffset val="100"/>
      </c:catAx>
      <c:valAx>
        <c:axId val="132000768"/>
        <c:scaling>
          <c:orientation val="minMax"/>
          <c:max val="4"/>
          <c:min val="-4"/>
        </c:scaling>
        <c:axPos val="l"/>
        <c:majorGridlines/>
        <c:numFmt formatCode="General" sourceLinked="1"/>
        <c:majorTickMark val="cross"/>
        <c:tickLblPos val="nextTo"/>
        <c:crossAx val="131999232"/>
        <c:crosses val="autoZero"/>
        <c:crossBetween val="between"/>
        <c:majorUnit val="1"/>
      </c:valAx>
    </c:plotArea>
    <c:plotVisOnly val="1"/>
    <c:dispBlanksAs val="gap"/>
  </c:chart>
  <c:spPr>
    <a:ln>
      <a:noFill/>
    </a:ln>
  </c:spPr>
  <c:txPr>
    <a:bodyPr/>
    <a:lstStyle/>
    <a:p>
      <a:pPr>
        <a:defRPr sz="800"/>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plotArea>
      <c:layout/>
      <c:lineChart>
        <c:grouping val="standard"/>
        <c:ser>
          <c:idx val="0"/>
          <c:order val="0"/>
          <c:tx>
            <c:strRef>
              <c:f>'Total production'!$B$13</c:f>
              <c:strCache>
                <c:ptCount val="1"/>
                <c:pt idx="0">
                  <c:v>Russia</c:v>
                </c:pt>
              </c:strCache>
            </c:strRef>
          </c:tx>
          <c:marker>
            <c:symbol val="none"/>
          </c:marker>
          <c:cat>
            <c:numRef>
              <c:f>'Total production'!$A$14:$A$22</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'Total production'!$B$14:$B$22</c:f>
              <c:numCache>
                <c:formatCode>0%</c:formatCode>
                <c:ptCount val="9"/>
                <c:pt idx="0">
                  <c:v>1</c:v>
                </c:pt>
                <c:pt idx="1">
                  <c:v>1.0568651547313201</c:v>
                </c:pt>
                <c:pt idx="2">
                  <c:v>0.94034186124455388</c:v>
                </c:pt>
                <c:pt idx="3">
                  <c:v>0.95573120321751792</c:v>
                </c:pt>
                <c:pt idx="4">
                  <c:v>0.98022567310914999</c:v>
                </c:pt>
                <c:pt idx="5">
                  <c:v>1.0225393810747399</c:v>
                </c:pt>
                <c:pt idx="6">
                  <c:v>1.0504971511562959</c:v>
                </c:pt>
                <c:pt idx="7">
                  <c:v>1.1453748184560384</c:v>
                </c:pt>
                <c:pt idx="8">
                  <c:v>1.1106580270360857</c:v>
                </c:pt>
              </c:numCache>
            </c:numRef>
          </c:val>
        </c:ser>
        <c:ser>
          <c:idx val="1"/>
          <c:order val="1"/>
          <c:tx>
            <c:strRef>
              <c:f>'Total production'!$C$13</c:f>
              <c:strCache>
                <c:ptCount val="1"/>
                <c:pt idx="0">
                  <c:v>Georgia</c:v>
                </c:pt>
              </c:strCache>
            </c:strRef>
          </c:tx>
          <c:spPr>
            <a:ln w="38100"/>
          </c:spPr>
          <c:marker>
            <c:symbol val="none"/>
          </c:marker>
          <c:cat>
            <c:numRef>
              <c:f>'Total production'!$A$14:$A$22</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'Total production'!$C$14:$C$22</c:f>
              <c:numCache>
                <c:formatCode>0%</c:formatCode>
                <c:ptCount val="9"/>
                <c:pt idx="0">
                  <c:v>1</c:v>
                </c:pt>
                <c:pt idx="1">
                  <c:v>1.0633484162895899</c:v>
                </c:pt>
                <c:pt idx="2">
                  <c:v>1.1764705882352946</c:v>
                </c:pt>
                <c:pt idx="3">
                  <c:v>1.0135746606334834</c:v>
                </c:pt>
                <c:pt idx="4">
                  <c:v>1.158371040723982</c:v>
                </c:pt>
                <c:pt idx="5">
                  <c:v>1.4162895927601806</c:v>
                </c:pt>
                <c:pt idx="6">
                  <c:v>1.2647058823529407</c:v>
                </c:pt>
                <c:pt idx="7">
                  <c:v>1.7036199095022624</c:v>
                </c:pt>
                <c:pt idx="8">
                  <c:v>1.9140271493212679</c:v>
                </c:pt>
              </c:numCache>
            </c:numRef>
          </c:val>
        </c:ser>
        <c:ser>
          <c:idx val="2"/>
          <c:order val="2"/>
          <c:tx>
            <c:strRef>
              <c:f>'Total production'!$D$13</c:f>
              <c:strCache>
                <c:ptCount val="1"/>
                <c:pt idx="0">
                  <c:v>Armenia</c:v>
                </c:pt>
              </c:strCache>
            </c:strRef>
          </c:tx>
          <c:marker>
            <c:symbol val="none"/>
          </c:marker>
          <c:cat>
            <c:numRef>
              <c:f>'Total production'!$A$14:$A$22</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'Total production'!$D$14:$D$22</c:f>
              <c:numCache>
                <c:formatCode>0%</c:formatCode>
                <c:ptCount val="9"/>
                <c:pt idx="0">
                  <c:v>1</c:v>
                </c:pt>
                <c:pt idx="1">
                  <c:v>1.1106796116504849</c:v>
                </c:pt>
                <c:pt idx="2">
                  <c:v>1.1223300970873782</c:v>
                </c:pt>
                <c:pt idx="3">
                  <c:v>1.1262135922330101</c:v>
                </c:pt>
                <c:pt idx="4">
                  <c:v>1.1300970873786407</c:v>
                </c:pt>
                <c:pt idx="5">
                  <c:v>1.271844660194174</c:v>
                </c:pt>
                <c:pt idx="6">
                  <c:v>1.4718446601941739</c:v>
                </c:pt>
                <c:pt idx="7">
                  <c:v>1.8233009708737868</c:v>
                </c:pt>
                <c:pt idx="8">
                  <c:v>2.0543689320388339</c:v>
                </c:pt>
              </c:numCache>
            </c:numRef>
          </c:val>
        </c:ser>
        <c:ser>
          <c:idx val="3"/>
          <c:order val="3"/>
          <c:tx>
            <c:strRef>
              <c:f>'Total production'!$E$13</c:f>
              <c:strCache>
                <c:ptCount val="1"/>
                <c:pt idx="0">
                  <c:v>Azerbaijan</c:v>
                </c:pt>
              </c:strCache>
            </c:strRef>
          </c:tx>
          <c:marker>
            <c:symbol val="none"/>
          </c:marker>
          <c:cat>
            <c:numRef>
              <c:f>'Total production'!$A$14:$A$22</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'Total production'!$E$14:$E$22</c:f>
              <c:numCache>
                <c:formatCode>0%</c:formatCode>
                <c:ptCount val="9"/>
                <c:pt idx="0">
                  <c:v>1</c:v>
                </c:pt>
                <c:pt idx="1">
                  <c:v>0.97911832946635713</c:v>
                </c:pt>
                <c:pt idx="2">
                  <c:v>0.86310904872389815</c:v>
                </c:pt>
                <c:pt idx="3">
                  <c:v>1.1577726218097453</c:v>
                </c:pt>
                <c:pt idx="4">
                  <c:v>1.2668213457076558</c:v>
                </c:pt>
                <c:pt idx="5">
                  <c:v>1.7656612529002313</c:v>
                </c:pt>
                <c:pt idx="6">
                  <c:v>1.7679814385150812</c:v>
                </c:pt>
                <c:pt idx="7">
                  <c:v>2.0092807424593984</c:v>
                </c:pt>
                <c:pt idx="8">
                  <c:v>2.1972157772621812</c:v>
                </c:pt>
              </c:numCache>
            </c:numRef>
          </c:val>
        </c:ser>
        <c:ser>
          <c:idx val="4"/>
          <c:order val="4"/>
          <c:tx>
            <c:strRef>
              <c:f>'Total production'!$F$13</c:f>
              <c:strCache>
                <c:ptCount val="1"/>
                <c:pt idx="0">
                  <c:v>Belarus</c:v>
                </c:pt>
              </c:strCache>
            </c:strRef>
          </c:tx>
          <c:marker>
            <c:symbol val="none"/>
          </c:marker>
          <c:cat>
            <c:numRef>
              <c:f>'Total production'!$A$14:$A$22</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'Total production'!$F$14:$F$22</c:f>
              <c:numCache>
                <c:formatCode>0%</c:formatCode>
                <c:ptCount val="9"/>
                <c:pt idx="0">
                  <c:v>1</c:v>
                </c:pt>
                <c:pt idx="1">
                  <c:v>0.99369880277252698</c:v>
                </c:pt>
                <c:pt idx="2">
                  <c:v>0.94833018273471958</c:v>
                </c:pt>
                <c:pt idx="3">
                  <c:v>0.98424700693131673</c:v>
                </c:pt>
                <c:pt idx="4">
                  <c:v>0.88720856962822936</c:v>
                </c:pt>
                <c:pt idx="5">
                  <c:v>0.9363579080025205</c:v>
                </c:pt>
                <c:pt idx="6">
                  <c:v>0.93383742911153123</c:v>
                </c:pt>
                <c:pt idx="7">
                  <c:v>1.0504095778197857</c:v>
                </c:pt>
                <c:pt idx="8">
                  <c:v>1.0680529300567121</c:v>
                </c:pt>
              </c:numCache>
            </c:numRef>
          </c:val>
        </c:ser>
        <c:ser>
          <c:idx val="5"/>
          <c:order val="5"/>
          <c:tx>
            <c:strRef>
              <c:f>'Total production'!$G$13</c:f>
              <c:strCache>
                <c:ptCount val="1"/>
                <c:pt idx="0">
                  <c:v>Ukraine</c:v>
                </c:pt>
              </c:strCache>
            </c:strRef>
          </c:tx>
          <c:marker>
            <c:symbol val="none"/>
          </c:marker>
          <c:cat>
            <c:numRef>
              <c:f>'Total production'!$A$14:$A$22</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'Total production'!$G$14:$G$22</c:f>
              <c:numCache>
                <c:formatCode>0%</c:formatCode>
                <c:ptCount val="9"/>
                <c:pt idx="0">
                  <c:v>1</c:v>
                </c:pt>
                <c:pt idx="1">
                  <c:v>1.0578069129916563</c:v>
                </c:pt>
                <c:pt idx="2">
                  <c:v>0.95426102502979759</c:v>
                </c:pt>
                <c:pt idx="3">
                  <c:v>0.97243742550655543</c:v>
                </c:pt>
                <c:pt idx="4">
                  <c:v>1.0326281287246719</c:v>
                </c:pt>
                <c:pt idx="5">
                  <c:v>1.0046185935637668</c:v>
                </c:pt>
                <c:pt idx="6">
                  <c:v>1.0478247914183545</c:v>
                </c:pt>
                <c:pt idx="7">
                  <c:v>1.179827175208582</c:v>
                </c:pt>
                <c:pt idx="8">
                  <c:v>1.2894815256257455</c:v>
                </c:pt>
              </c:numCache>
            </c:numRef>
          </c:val>
        </c:ser>
        <c:ser>
          <c:idx val="6"/>
          <c:order val="6"/>
          <c:tx>
            <c:strRef>
              <c:f>'Total production'!$H$13</c:f>
              <c:strCache>
                <c:ptCount val="1"/>
                <c:pt idx="0">
                  <c:v>Lithuania</c:v>
                </c:pt>
              </c:strCache>
            </c:strRef>
          </c:tx>
          <c:marker>
            <c:symbol val="none"/>
          </c:marker>
          <c:cat>
            <c:numRef>
              <c:f>'Total production'!$A$14:$A$22</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'Total production'!$H$14:$H$22</c:f>
              <c:numCache>
                <c:formatCode>0%</c:formatCode>
                <c:ptCount val="9"/>
                <c:pt idx="0">
                  <c:v>1</c:v>
                </c:pt>
                <c:pt idx="1">
                  <c:v>1.2832369942196526</c:v>
                </c:pt>
                <c:pt idx="2">
                  <c:v>1.4591246903385622</c:v>
                </c:pt>
                <c:pt idx="3">
                  <c:v>1.4946325350949623</c:v>
                </c:pt>
                <c:pt idx="4">
                  <c:v>2.2014863748967795</c:v>
                </c:pt>
                <c:pt idx="5">
                  <c:v>2.1288191577208919</c:v>
                </c:pt>
                <c:pt idx="6">
                  <c:v>2.2014863748967795</c:v>
                </c:pt>
                <c:pt idx="7">
                  <c:v>2.264244426094137</c:v>
                </c:pt>
                <c:pt idx="8">
                  <c:v>2.2361684558216348</c:v>
                </c:pt>
              </c:numCache>
            </c:numRef>
          </c:val>
        </c:ser>
        <c:ser>
          <c:idx val="7"/>
          <c:order val="7"/>
          <c:tx>
            <c:strRef>
              <c:f>'Total production'!$I$13</c:f>
              <c:strCache>
                <c:ptCount val="1"/>
                <c:pt idx="0">
                  <c:v>Latvia</c:v>
                </c:pt>
              </c:strCache>
            </c:strRef>
          </c:tx>
          <c:marker>
            <c:symbol val="none"/>
          </c:marker>
          <c:cat>
            <c:numRef>
              <c:f>'Total production'!$A$14:$A$22</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'Total production'!$I$14:$I$22</c:f>
              <c:numCache>
                <c:formatCode>0%</c:formatCode>
                <c:ptCount val="9"/>
                <c:pt idx="0">
                  <c:v>1</c:v>
                </c:pt>
                <c:pt idx="1">
                  <c:v>1.2399049881235154</c:v>
                </c:pt>
                <c:pt idx="2">
                  <c:v>1.0831353919239906</c:v>
                </c:pt>
                <c:pt idx="3">
                  <c:v>1.3206650831353919</c:v>
                </c:pt>
                <c:pt idx="4">
                  <c:v>1.7790973871733962</c:v>
                </c:pt>
                <c:pt idx="5">
                  <c:v>1.8076009501187649</c:v>
                </c:pt>
                <c:pt idx="6">
                  <c:v>2.0142517814726841</c:v>
                </c:pt>
                <c:pt idx="7">
                  <c:v>3.0973871733966751</c:v>
                </c:pt>
                <c:pt idx="8">
                  <c:v>2.9619952494061756</c:v>
                </c:pt>
              </c:numCache>
            </c:numRef>
          </c:val>
        </c:ser>
        <c:ser>
          <c:idx val="8"/>
          <c:order val="8"/>
          <c:tx>
            <c:strRef>
              <c:f>'Total production'!$J$13</c:f>
              <c:strCache>
                <c:ptCount val="1"/>
                <c:pt idx="0">
                  <c:v>Esotnia</c:v>
                </c:pt>
              </c:strCache>
            </c:strRef>
          </c:tx>
          <c:spPr>
            <a:ln>
              <a:solidFill>
                <a:srgbClr val="C00000"/>
              </a:solidFill>
            </a:ln>
          </c:spPr>
          <c:marker>
            <c:symbol val="none"/>
          </c:marker>
          <c:cat>
            <c:numRef>
              <c:f>'Total production'!$A$14:$A$22</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'Total production'!$J$14:$J$22</c:f>
              <c:numCache>
                <c:formatCode>0%</c:formatCode>
                <c:ptCount val="9"/>
                <c:pt idx="0">
                  <c:v>1</c:v>
                </c:pt>
                <c:pt idx="1">
                  <c:v>1.1533258173618939</c:v>
                </c:pt>
                <c:pt idx="2">
                  <c:v>1.3280721533258177</c:v>
                </c:pt>
                <c:pt idx="3">
                  <c:v>1.5727170236753105</c:v>
                </c:pt>
                <c:pt idx="4">
                  <c:v>1.7361894024802706</c:v>
                </c:pt>
                <c:pt idx="5">
                  <c:v>1.8827508455467878</c:v>
                </c:pt>
                <c:pt idx="6">
                  <c:v>2.234498308906427</c:v>
                </c:pt>
                <c:pt idx="7">
                  <c:v>2.4092446448703493</c:v>
                </c:pt>
                <c:pt idx="8">
                  <c:v>2.4926719278466738</c:v>
                </c:pt>
              </c:numCache>
            </c:numRef>
          </c:val>
        </c:ser>
        <c:ser>
          <c:idx val="9"/>
          <c:order val="9"/>
          <c:tx>
            <c:strRef>
              <c:f>'Total production'!$K$13</c:f>
              <c:strCache>
                <c:ptCount val="1"/>
                <c:pt idx="0">
                  <c:v>World</c:v>
                </c:pt>
              </c:strCache>
            </c:strRef>
          </c:tx>
          <c:spPr>
            <a:ln w="50800">
              <a:solidFill>
                <a:schemeClr val="tx1"/>
              </a:solidFill>
            </a:ln>
          </c:spPr>
          <c:marker>
            <c:symbol val="none"/>
          </c:marker>
          <c:cat>
            <c:numRef>
              <c:f>'Total production'!$A$14:$A$22</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'Total production'!$K$14:$K$22</c:f>
              <c:numCache>
                <c:formatCode>0%</c:formatCode>
                <c:ptCount val="9"/>
                <c:pt idx="0">
                  <c:v>1</c:v>
                </c:pt>
                <c:pt idx="1">
                  <c:v>1.1274484118349712</c:v>
                </c:pt>
                <c:pt idx="2">
                  <c:v>1.1836804474050975</c:v>
                </c:pt>
                <c:pt idx="3">
                  <c:v>1.2480126923791797</c:v>
                </c:pt>
                <c:pt idx="4">
                  <c:v>1.302910657906506</c:v>
                </c:pt>
                <c:pt idx="5">
                  <c:v>1.3618584109532039</c:v>
                </c:pt>
                <c:pt idx="6">
                  <c:v>1.4342052260274967</c:v>
                </c:pt>
                <c:pt idx="7">
                  <c:v>1.5217089291344277</c:v>
                </c:pt>
                <c:pt idx="8">
                  <c:v>1.5433154082869665</c:v>
                </c:pt>
              </c:numCache>
            </c:numRef>
          </c:val>
        </c:ser>
        <c:marker val="1"/>
        <c:axId val="127475712"/>
        <c:axId val="127477248"/>
      </c:lineChart>
      <c:catAx>
        <c:axId val="127475712"/>
        <c:scaling>
          <c:orientation val="minMax"/>
        </c:scaling>
        <c:axPos val="b"/>
        <c:numFmt formatCode="General" sourceLinked="1"/>
        <c:tickLblPos val="nextTo"/>
        <c:txPr>
          <a:bodyPr/>
          <a:lstStyle/>
          <a:p>
            <a:pPr>
              <a:defRPr sz="800"/>
            </a:pPr>
            <a:endParaRPr lang="en-US"/>
          </a:p>
        </c:txPr>
        <c:crossAx val="127477248"/>
        <c:crosses val="autoZero"/>
        <c:auto val="1"/>
        <c:lblAlgn val="ctr"/>
        <c:lblOffset val="100"/>
      </c:catAx>
      <c:valAx>
        <c:axId val="127477248"/>
        <c:scaling>
          <c:orientation val="minMax"/>
        </c:scaling>
        <c:axPos val="l"/>
        <c:majorGridlines/>
        <c:title>
          <c:tx>
            <c:rich>
              <a:bodyPr rot="-5400000" vert="horz"/>
              <a:lstStyle/>
              <a:p>
                <a:pPr>
                  <a:defRPr/>
                </a:pPr>
                <a:r>
                  <a:rPr lang="en-US"/>
                  <a:t>Growth</a:t>
                </a:r>
                <a:r>
                  <a:rPr lang="en-US" baseline="0"/>
                  <a:t>  index</a:t>
                </a:r>
                <a:endParaRPr lang="en-US"/>
              </a:p>
            </c:rich>
          </c:tx>
        </c:title>
        <c:numFmt formatCode="General" sourceLinked="0"/>
        <c:tickLblPos val="nextTo"/>
        <c:crossAx val="127475712"/>
        <c:crosses val="autoZero"/>
        <c:crossBetween val="between"/>
      </c:valAx>
    </c:plotArea>
    <c:legend>
      <c:legendPos val="r"/>
    </c:legend>
    <c:plotVisOnly val="1"/>
    <c:dispBlanksAs val="gap"/>
  </c:chart>
  <c:spPr>
    <a:ln>
      <a:noFill/>
    </a:ln>
  </c:spPr>
  <c:externalData r:id="rId1"/>
</c:chartSpace>
</file>

<file path=word/charts/chart30.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20115789097791348"/>
          <c:y val="0.22474011985061013"/>
          <c:w val="0.45214110140994285"/>
          <c:h val="0.71467464416410353"/>
        </c:manualLayout>
      </c:layout>
      <c:radarChart>
        <c:radarStyle val="marker"/>
        <c:ser>
          <c:idx val="0"/>
          <c:order val="0"/>
          <c:tx>
            <c:strRef>
              <c:f>'2010-2013 structure publica (2'!$H$190</c:f>
              <c:strCache>
                <c:ptCount val="1"/>
                <c:pt idx="0">
                  <c:v>Lithuania</c:v>
                </c:pt>
              </c:strCache>
            </c:strRef>
          </c:tx>
          <c:cat>
            <c:strRef>
              <c:f>'2010-2013 structure publica (2'!$A$191:$A$200</c:f>
              <c:strCache>
                <c:ptCount val="10"/>
                <c:pt idx="0">
                  <c:v>Arts and Humanities</c:v>
                </c:pt>
                <c:pt idx="1">
                  <c:v>Engineering and technology</c:v>
                </c:pt>
                <c:pt idx="2">
                  <c:v>Medical and Health sciences</c:v>
                </c:pt>
                <c:pt idx="3">
                  <c:v>Social Sciences</c:v>
                </c:pt>
                <c:pt idx="4">
                  <c:v>Other Natural and Agricultural Science</c:v>
                </c:pt>
                <c:pt idx="5">
                  <c:v>Mathematics</c:v>
                </c:pt>
                <c:pt idx="6">
                  <c:v>Physics and Astronomy</c:v>
                </c:pt>
                <c:pt idx="7">
                  <c:v>Biochemistry, Genetics and Molecular Biology</c:v>
                </c:pt>
                <c:pt idx="8">
                  <c:v>Chemistry</c:v>
                </c:pt>
                <c:pt idx="9">
                  <c:v>Computer Science</c:v>
                </c:pt>
              </c:strCache>
            </c:strRef>
          </c:cat>
          <c:val>
            <c:numRef>
              <c:f>'2010-2013 structure publica (2'!$H$191:$H$200</c:f>
              <c:numCache>
                <c:formatCode>General</c:formatCode>
                <c:ptCount val="10"/>
                <c:pt idx="0">
                  <c:v>1.1684295431576692</c:v>
                </c:pt>
                <c:pt idx="1">
                  <c:v>1.0179047552848344</c:v>
                </c:pt>
                <c:pt idx="2">
                  <c:v>2.381297572939173</c:v>
                </c:pt>
                <c:pt idx="3">
                  <c:v>0.93847371154547832</c:v>
                </c:pt>
                <c:pt idx="4">
                  <c:v>1.8164462113944526</c:v>
                </c:pt>
                <c:pt idx="5">
                  <c:v>1.267706413248423</c:v>
                </c:pt>
                <c:pt idx="6">
                  <c:v>1.2971556862728177</c:v>
                </c:pt>
                <c:pt idx="7">
                  <c:v>0.43959982679337334</c:v>
                </c:pt>
                <c:pt idx="8">
                  <c:v>0.68182501842275134</c:v>
                </c:pt>
                <c:pt idx="9">
                  <c:v>0.88694455883021839</c:v>
                </c:pt>
              </c:numCache>
            </c:numRef>
          </c:val>
        </c:ser>
        <c:ser>
          <c:idx val="1"/>
          <c:order val="1"/>
          <c:tx>
            <c:strRef>
              <c:f>'2010-2013 structure publica (2'!$K$190</c:f>
              <c:strCache>
                <c:ptCount val="1"/>
                <c:pt idx="0">
                  <c:v>World</c:v>
                </c:pt>
              </c:strCache>
            </c:strRef>
          </c:tx>
          <c:marker>
            <c:symbol val="none"/>
          </c:marker>
          <c:cat>
            <c:strRef>
              <c:f>'2010-2013 structure publica (2'!$A$191:$A$200</c:f>
              <c:strCache>
                <c:ptCount val="10"/>
                <c:pt idx="0">
                  <c:v>Arts and Humanities</c:v>
                </c:pt>
                <c:pt idx="1">
                  <c:v>Engineering and technology</c:v>
                </c:pt>
                <c:pt idx="2">
                  <c:v>Medical and Health sciences</c:v>
                </c:pt>
                <c:pt idx="3">
                  <c:v>Social Sciences</c:v>
                </c:pt>
                <c:pt idx="4">
                  <c:v>Other Natural and Agricultural Science</c:v>
                </c:pt>
                <c:pt idx="5">
                  <c:v>Mathematics</c:v>
                </c:pt>
                <c:pt idx="6">
                  <c:v>Physics and Astronomy</c:v>
                </c:pt>
                <c:pt idx="7">
                  <c:v>Biochemistry, Genetics and Molecular Biology</c:v>
                </c:pt>
                <c:pt idx="8">
                  <c:v>Chemistry</c:v>
                </c:pt>
                <c:pt idx="9">
                  <c:v>Computer Science</c:v>
                </c:pt>
              </c:strCache>
            </c:strRef>
          </c:cat>
          <c:val>
            <c:numRef>
              <c:f>'2010-2013 structure publica (2'!$K$191:$K$200</c:f>
              <c:numCache>
                <c:formatCode>General</c:formatCode>
                <c:ptCount val="10"/>
                <c:pt idx="0">
                  <c:v>1</c:v>
                </c:pt>
                <c:pt idx="1">
                  <c:v>1</c:v>
                </c:pt>
                <c:pt idx="2">
                  <c:v>1</c:v>
                </c:pt>
                <c:pt idx="3">
                  <c:v>1</c:v>
                </c:pt>
                <c:pt idx="4">
                  <c:v>1</c:v>
                </c:pt>
                <c:pt idx="5">
                  <c:v>1</c:v>
                </c:pt>
                <c:pt idx="6">
                  <c:v>1</c:v>
                </c:pt>
                <c:pt idx="7">
                  <c:v>1</c:v>
                </c:pt>
                <c:pt idx="8">
                  <c:v>1</c:v>
                </c:pt>
                <c:pt idx="9">
                  <c:v>1</c:v>
                </c:pt>
              </c:numCache>
            </c:numRef>
          </c:val>
        </c:ser>
        <c:axId val="132050304"/>
        <c:axId val="132121728"/>
      </c:radarChart>
      <c:catAx>
        <c:axId val="132050304"/>
        <c:scaling>
          <c:orientation val="minMax"/>
        </c:scaling>
        <c:axPos val="b"/>
        <c:majorGridlines/>
        <c:numFmt formatCode="General" sourceLinked="1"/>
        <c:tickLblPos val="nextTo"/>
        <c:crossAx val="132121728"/>
        <c:crosses val="autoZero"/>
        <c:lblAlgn val="ctr"/>
        <c:lblOffset val="100"/>
      </c:catAx>
      <c:valAx>
        <c:axId val="132121728"/>
        <c:scaling>
          <c:orientation val="minMax"/>
          <c:max val="3"/>
          <c:min val="-3"/>
        </c:scaling>
        <c:axPos val="l"/>
        <c:majorGridlines/>
        <c:numFmt formatCode="General" sourceLinked="1"/>
        <c:majorTickMark val="cross"/>
        <c:tickLblPos val="nextTo"/>
        <c:crossAx val="132050304"/>
        <c:crosses val="autoZero"/>
        <c:crossBetween val="between"/>
        <c:majorUnit val="1"/>
      </c:valAx>
    </c:plotArea>
    <c:legend>
      <c:legendPos val="r"/>
      <c:layout>
        <c:manualLayout>
          <c:xMode val="edge"/>
          <c:yMode val="edge"/>
          <c:x val="0.55592277155831715"/>
          <c:y val="0.90155175495536155"/>
          <c:w val="0.43874843025574195"/>
          <c:h val="9.7277961222589124E-2"/>
        </c:manualLayout>
      </c:layout>
    </c:legend>
    <c:plotVisOnly val="1"/>
    <c:dispBlanksAs val="gap"/>
  </c:chart>
  <c:spPr>
    <a:ln>
      <a:noFill/>
    </a:ln>
  </c:spPr>
  <c:txPr>
    <a:bodyPr/>
    <a:lstStyle/>
    <a:p>
      <a:pPr>
        <a:defRPr sz="800"/>
      </a:pPr>
      <a:endParaRPr lang="en-US"/>
    </a:p>
  </c:txPr>
  <c:externalData r:id="rId1"/>
</c:chartSpace>
</file>

<file path=word/charts/chart31.xml><?xml version="1.0" encoding="utf-8"?>
<c:chartSpace xmlns:c="http://schemas.openxmlformats.org/drawingml/2006/chart" xmlns:a="http://schemas.openxmlformats.org/drawingml/2006/main" xmlns:r="http://schemas.openxmlformats.org/officeDocument/2006/relationships">
  <c:date1904 val="1"/>
  <c:lang val="en-US"/>
  <c:chart>
    <c:plotArea>
      <c:layout/>
      <c:radarChart>
        <c:radarStyle val="marker"/>
        <c:ser>
          <c:idx val="0"/>
          <c:order val="0"/>
          <c:tx>
            <c:strRef>
              <c:f>'2010-2013 structure publica (2'!$H$190</c:f>
              <c:strCache>
                <c:ptCount val="1"/>
                <c:pt idx="0">
                  <c:v>Lithuania</c:v>
                </c:pt>
              </c:strCache>
            </c:strRef>
          </c:tx>
          <c:cat>
            <c:strRef>
              <c:f>'2010-2013 structure publica (2'!$A$191:$A$200</c:f>
              <c:strCache>
                <c:ptCount val="10"/>
                <c:pt idx="0">
                  <c:v>Arts and Humanities</c:v>
                </c:pt>
                <c:pt idx="1">
                  <c:v>Engineering and technology</c:v>
                </c:pt>
                <c:pt idx="2">
                  <c:v>Medical and Health sciences</c:v>
                </c:pt>
                <c:pt idx="3">
                  <c:v>Social Sciences</c:v>
                </c:pt>
                <c:pt idx="4">
                  <c:v>Other Natural and Agricultural Science</c:v>
                </c:pt>
                <c:pt idx="5">
                  <c:v>Mathematics</c:v>
                </c:pt>
                <c:pt idx="6">
                  <c:v>Physics and Astronomy</c:v>
                </c:pt>
                <c:pt idx="7">
                  <c:v>Biochemistry, Genetics and Molecular Biology</c:v>
                </c:pt>
                <c:pt idx="8">
                  <c:v>Chemistry</c:v>
                </c:pt>
                <c:pt idx="9">
                  <c:v>Computer Science</c:v>
                </c:pt>
              </c:strCache>
            </c:strRef>
          </c:cat>
          <c:val>
            <c:numRef>
              <c:f>'2010-2013 structure publica (2'!$H$191:$H$200</c:f>
              <c:numCache>
                <c:formatCode>General</c:formatCode>
                <c:ptCount val="10"/>
                <c:pt idx="0">
                  <c:v>1.1684295431576692</c:v>
                </c:pt>
                <c:pt idx="1">
                  <c:v>1.0179047552848344</c:v>
                </c:pt>
                <c:pt idx="2">
                  <c:v>2.381297572939173</c:v>
                </c:pt>
                <c:pt idx="3">
                  <c:v>0.93847371154547832</c:v>
                </c:pt>
                <c:pt idx="4">
                  <c:v>1.8164462113944526</c:v>
                </c:pt>
                <c:pt idx="5">
                  <c:v>1.267706413248423</c:v>
                </c:pt>
                <c:pt idx="6">
                  <c:v>1.2971556862728177</c:v>
                </c:pt>
                <c:pt idx="7">
                  <c:v>0.43959982679337334</c:v>
                </c:pt>
                <c:pt idx="8">
                  <c:v>0.68182501842275134</c:v>
                </c:pt>
                <c:pt idx="9">
                  <c:v>0.88694455883021839</c:v>
                </c:pt>
              </c:numCache>
            </c:numRef>
          </c:val>
        </c:ser>
        <c:ser>
          <c:idx val="1"/>
          <c:order val="1"/>
          <c:tx>
            <c:strRef>
              <c:f>'2010-2013 structure publica (2'!$K$190</c:f>
              <c:strCache>
                <c:ptCount val="1"/>
                <c:pt idx="0">
                  <c:v>World</c:v>
                </c:pt>
              </c:strCache>
            </c:strRef>
          </c:tx>
          <c:marker>
            <c:symbol val="none"/>
          </c:marker>
          <c:cat>
            <c:strRef>
              <c:f>'2010-2013 structure publica (2'!$A$191:$A$200</c:f>
              <c:strCache>
                <c:ptCount val="10"/>
                <c:pt idx="0">
                  <c:v>Arts and Humanities</c:v>
                </c:pt>
                <c:pt idx="1">
                  <c:v>Engineering and technology</c:v>
                </c:pt>
                <c:pt idx="2">
                  <c:v>Medical and Health sciences</c:v>
                </c:pt>
                <c:pt idx="3">
                  <c:v>Social Sciences</c:v>
                </c:pt>
                <c:pt idx="4">
                  <c:v>Other Natural and Agricultural Science</c:v>
                </c:pt>
                <c:pt idx="5">
                  <c:v>Mathematics</c:v>
                </c:pt>
                <c:pt idx="6">
                  <c:v>Physics and Astronomy</c:v>
                </c:pt>
                <c:pt idx="7">
                  <c:v>Biochemistry, Genetics and Molecular Biology</c:v>
                </c:pt>
                <c:pt idx="8">
                  <c:v>Chemistry</c:v>
                </c:pt>
                <c:pt idx="9">
                  <c:v>Computer Science</c:v>
                </c:pt>
              </c:strCache>
            </c:strRef>
          </c:cat>
          <c:val>
            <c:numRef>
              <c:f>'2010-2013 structure publica (2'!$K$191:$K$200</c:f>
              <c:numCache>
                <c:formatCode>General</c:formatCode>
                <c:ptCount val="10"/>
                <c:pt idx="0">
                  <c:v>1</c:v>
                </c:pt>
                <c:pt idx="1">
                  <c:v>1</c:v>
                </c:pt>
                <c:pt idx="2">
                  <c:v>1</c:v>
                </c:pt>
                <c:pt idx="3">
                  <c:v>1</c:v>
                </c:pt>
                <c:pt idx="4">
                  <c:v>1</c:v>
                </c:pt>
                <c:pt idx="5">
                  <c:v>1</c:v>
                </c:pt>
                <c:pt idx="6">
                  <c:v>1</c:v>
                </c:pt>
                <c:pt idx="7">
                  <c:v>1</c:v>
                </c:pt>
                <c:pt idx="8">
                  <c:v>1</c:v>
                </c:pt>
                <c:pt idx="9">
                  <c:v>1</c:v>
                </c:pt>
              </c:numCache>
            </c:numRef>
          </c:val>
        </c:ser>
        <c:axId val="132159360"/>
        <c:axId val="132160896"/>
      </c:radarChart>
      <c:catAx>
        <c:axId val="132159360"/>
        <c:scaling>
          <c:orientation val="minMax"/>
        </c:scaling>
        <c:axPos val="b"/>
        <c:majorGridlines/>
        <c:numFmt formatCode="General" sourceLinked="1"/>
        <c:tickLblPos val="nextTo"/>
        <c:crossAx val="132160896"/>
        <c:crosses val="autoZero"/>
        <c:lblAlgn val="ctr"/>
        <c:lblOffset val="100"/>
      </c:catAx>
      <c:valAx>
        <c:axId val="132160896"/>
        <c:scaling>
          <c:orientation val="minMax"/>
          <c:max val="3"/>
          <c:min val="-3"/>
        </c:scaling>
        <c:axPos val="l"/>
        <c:majorGridlines/>
        <c:numFmt formatCode="General" sourceLinked="1"/>
        <c:majorTickMark val="cross"/>
        <c:tickLblPos val="nextTo"/>
        <c:crossAx val="132159360"/>
        <c:crosses val="autoZero"/>
        <c:crossBetween val="between"/>
        <c:majorUnit val="1"/>
      </c:valAx>
    </c:plotArea>
    <c:plotVisOnly val="1"/>
    <c:dispBlanksAs val="gap"/>
  </c:chart>
  <c:spPr>
    <a:ln>
      <a:noFill/>
    </a:ln>
  </c:spPr>
  <c:txPr>
    <a:bodyPr/>
    <a:lstStyle/>
    <a:p>
      <a:pPr>
        <a:defRPr sz="800"/>
      </a:pPr>
      <a:endParaRPr lang="en-US"/>
    </a:p>
  </c:txPr>
  <c:externalData r:id="rId1"/>
</c:chartSpace>
</file>

<file path=word/charts/chart32.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20161506800286333"/>
          <c:y val="0.18683368407777859"/>
          <c:w val="0.45968832020997391"/>
          <c:h val="0.60739597865582162"/>
        </c:manualLayout>
      </c:layout>
      <c:radarChart>
        <c:radarStyle val="marker"/>
        <c:ser>
          <c:idx val="0"/>
          <c:order val="0"/>
          <c:tx>
            <c:strRef>
              <c:f>'Production by fields COMP'!$J$101</c:f>
              <c:strCache>
                <c:ptCount val="1"/>
                <c:pt idx="0">
                  <c:v>Estonia </c:v>
                </c:pt>
              </c:strCache>
            </c:strRef>
          </c:tx>
          <c:cat>
            <c:strRef>
              <c:f>'Production by fields COMP'!$B$102:$B$111</c:f>
              <c:strCache>
                <c:ptCount val="10"/>
                <c:pt idx="0">
                  <c:v>Arts and Humanities</c:v>
                </c:pt>
                <c:pt idx="1">
                  <c:v>Engineering and technology</c:v>
                </c:pt>
                <c:pt idx="2">
                  <c:v>Medical and Health sciences</c:v>
                </c:pt>
                <c:pt idx="3">
                  <c:v>Social Sciences</c:v>
                </c:pt>
                <c:pt idx="4">
                  <c:v>Other Natural and agricultural sciences</c:v>
                </c:pt>
                <c:pt idx="5">
                  <c:v>Mathematics</c:v>
                </c:pt>
                <c:pt idx="6">
                  <c:v>Physics and Astronomy</c:v>
                </c:pt>
                <c:pt idx="7">
                  <c:v>Biochemistry, Genetics and Molecular Biology</c:v>
                </c:pt>
                <c:pt idx="8">
                  <c:v>Chemistry</c:v>
                </c:pt>
                <c:pt idx="9">
                  <c:v>Computer Science</c:v>
                </c:pt>
              </c:strCache>
            </c:strRef>
          </c:cat>
          <c:val>
            <c:numRef>
              <c:f>'Production by fields COMP'!$J$102:$J$111</c:f>
              <c:numCache>
                <c:formatCode>General</c:formatCode>
                <c:ptCount val="10"/>
                <c:pt idx="0">
                  <c:v>2.0274920256399511</c:v>
                </c:pt>
                <c:pt idx="1">
                  <c:v>0.68465816382308864</c:v>
                </c:pt>
                <c:pt idx="2">
                  <c:v>0.52140549381924661</c:v>
                </c:pt>
                <c:pt idx="3">
                  <c:v>1.2316846926266856</c:v>
                </c:pt>
                <c:pt idx="4">
                  <c:v>2.0658466512565985</c:v>
                </c:pt>
                <c:pt idx="5">
                  <c:v>1.0434985752136028</c:v>
                </c:pt>
                <c:pt idx="6">
                  <c:v>1.3996390598370538</c:v>
                </c:pt>
                <c:pt idx="7">
                  <c:v>0.99870586242909065</c:v>
                </c:pt>
                <c:pt idx="8">
                  <c:v>0.96222962530912004</c:v>
                </c:pt>
                <c:pt idx="9">
                  <c:v>0.90895972855967622</c:v>
                </c:pt>
              </c:numCache>
            </c:numRef>
          </c:val>
        </c:ser>
        <c:ser>
          <c:idx val="1"/>
          <c:order val="1"/>
          <c:tx>
            <c:strRef>
              <c:f>'Production by fields COMP'!$K$101</c:f>
              <c:strCache>
                <c:ptCount val="1"/>
                <c:pt idx="0">
                  <c:v>World</c:v>
                </c:pt>
              </c:strCache>
            </c:strRef>
          </c:tx>
          <c:spPr>
            <a:ln w="19050"/>
          </c:spPr>
          <c:marker>
            <c:symbol val="none"/>
          </c:marker>
          <c:cat>
            <c:strRef>
              <c:f>'Production by fields COMP'!$B$102:$B$111</c:f>
              <c:strCache>
                <c:ptCount val="10"/>
                <c:pt idx="0">
                  <c:v>Arts and Humanities</c:v>
                </c:pt>
                <c:pt idx="1">
                  <c:v>Engineering and technology</c:v>
                </c:pt>
                <c:pt idx="2">
                  <c:v>Medical and Health sciences</c:v>
                </c:pt>
                <c:pt idx="3">
                  <c:v>Social Sciences</c:v>
                </c:pt>
                <c:pt idx="4">
                  <c:v>Other Natural and agricultural sciences</c:v>
                </c:pt>
                <c:pt idx="5">
                  <c:v>Mathematics</c:v>
                </c:pt>
                <c:pt idx="6">
                  <c:v>Physics and Astronomy</c:v>
                </c:pt>
                <c:pt idx="7">
                  <c:v>Biochemistry, Genetics and Molecular Biology</c:v>
                </c:pt>
                <c:pt idx="8">
                  <c:v>Chemistry</c:v>
                </c:pt>
                <c:pt idx="9">
                  <c:v>Computer Science</c:v>
                </c:pt>
              </c:strCache>
            </c:strRef>
          </c:cat>
          <c:val>
            <c:numRef>
              <c:f>'Production by fields COMP'!$K$102:$K$111</c:f>
              <c:numCache>
                <c:formatCode>General</c:formatCode>
                <c:ptCount val="10"/>
                <c:pt idx="0">
                  <c:v>1</c:v>
                </c:pt>
                <c:pt idx="1">
                  <c:v>1</c:v>
                </c:pt>
                <c:pt idx="2">
                  <c:v>1</c:v>
                </c:pt>
                <c:pt idx="3">
                  <c:v>1</c:v>
                </c:pt>
                <c:pt idx="4">
                  <c:v>1</c:v>
                </c:pt>
                <c:pt idx="5">
                  <c:v>1</c:v>
                </c:pt>
                <c:pt idx="6">
                  <c:v>1</c:v>
                </c:pt>
                <c:pt idx="7">
                  <c:v>1</c:v>
                </c:pt>
                <c:pt idx="8">
                  <c:v>1</c:v>
                </c:pt>
                <c:pt idx="9">
                  <c:v>1</c:v>
                </c:pt>
              </c:numCache>
            </c:numRef>
          </c:val>
        </c:ser>
        <c:axId val="132186496"/>
        <c:axId val="132188032"/>
      </c:radarChart>
      <c:catAx>
        <c:axId val="132186496"/>
        <c:scaling>
          <c:orientation val="minMax"/>
        </c:scaling>
        <c:axPos val="b"/>
        <c:majorGridlines/>
        <c:tickLblPos val="nextTo"/>
        <c:txPr>
          <a:bodyPr/>
          <a:lstStyle/>
          <a:p>
            <a:pPr>
              <a:defRPr sz="800"/>
            </a:pPr>
            <a:endParaRPr lang="en-US"/>
          </a:p>
        </c:txPr>
        <c:crossAx val="132188032"/>
        <c:crosses val="autoZero"/>
        <c:auto val="1"/>
        <c:lblAlgn val="ctr"/>
        <c:lblOffset val="100"/>
      </c:catAx>
      <c:valAx>
        <c:axId val="132188032"/>
        <c:scaling>
          <c:orientation val="minMax"/>
          <c:max val="6"/>
          <c:min val="-6"/>
        </c:scaling>
        <c:axPos val="l"/>
        <c:majorGridlines/>
        <c:numFmt formatCode="General" sourceLinked="1"/>
        <c:majorTickMark val="cross"/>
        <c:tickLblPos val="nextTo"/>
        <c:crossAx val="132186496"/>
        <c:crosses val="autoZero"/>
        <c:crossBetween val="between"/>
      </c:valAx>
    </c:plotArea>
    <c:legend>
      <c:legendPos val="r"/>
      <c:layout>
        <c:manualLayout>
          <c:xMode val="edge"/>
          <c:yMode val="edge"/>
          <c:x val="0.45109150149334776"/>
          <c:y val="0.8870746029627653"/>
          <c:w val="0.53741424563308893"/>
          <c:h val="0.10559252127382389"/>
        </c:manualLayout>
      </c:layout>
    </c:legend>
    <c:plotVisOnly val="1"/>
    <c:dispBlanksAs val="gap"/>
  </c:chart>
  <c:spPr>
    <a:ln>
      <a:noFill/>
    </a:ln>
  </c:spPr>
  <c:externalData r:id="rId1"/>
</c:chartSpace>
</file>

<file path=word/charts/chart33.xml><?xml version="1.0" encoding="utf-8"?>
<c:chartSpace xmlns:c="http://schemas.openxmlformats.org/drawingml/2006/chart" xmlns:a="http://schemas.openxmlformats.org/drawingml/2006/main" xmlns:r="http://schemas.openxmlformats.org/officeDocument/2006/relationships">
  <c:date1904 val="1"/>
  <c:lang val="en-US"/>
  <c:chart>
    <c:plotArea>
      <c:layout/>
      <c:radarChart>
        <c:radarStyle val="marker"/>
        <c:ser>
          <c:idx val="0"/>
          <c:order val="0"/>
          <c:tx>
            <c:strRef>
              <c:f>'2010-2013 structure publica (2'!$E$190</c:f>
              <c:strCache>
                <c:ptCount val="1"/>
                <c:pt idx="0">
                  <c:v>Estonia</c:v>
                </c:pt>
              </c:strCache>
            </c:strRef>
          </c:tx>
          <c:cat>
            <c:strRef>
              <c:f>'2010-2013 structure publica (2'!$A$191:$A$200</c:f>
              <c:strCache>
                <c:ptCount val="10"/>
                <c:pt idx="0">
                  <c:v>Arts and Humanities</c:v>
                </c:pt>
                <c:pt idx="1">
                  <c:v>Engineering and technology</c:v>
                </c:pt>
                <c:pt idx="2">
                  <c:v>Medical and Health sciences</c:v>
                </c:pt>
                <c:pt idx="3">
                  <c:v>Social Sciences</c:v>
                </c:pt>
                <c:pt idx="4">
                  <c:v>Other Natural and Agricultural Science</c:v>
                </c:pt>
                <c:pt idx="5">
                  <c:v>Mathematics</c:v>
                </c:pt>
                <c:pt idx="6">
                  <c:v>Physics and Astronomy</c:v>
                </c:pt>
                <c:pt idx="7">
                  <c:v>Biochemistry, Genetics and Molecular Biology</c:v>
                </c:pt>
                <c:pt idx="8">
                  <c:v>Chemistry</c:v>
                </c:pt>
                <c:pt idx="9">
                  <c:v>Computer Science</c:v>
                </c:pt>
              </c:strCache>
            </c:strRef>
          </c:cat>
          <c:val>
            <c:numRef>
              <c:f>'2010-2013 structure publica (2'!$E$191:$E$200</c:f>
              <c:numCache>
                <c:formatCode>General</c:formatCode>
                <c:ptCount val="10"/>
                <c:pt idx="0">
                  <c:v>2.3131737373812653</c:v>
                </c:pt>
                <c:pt idx="1">
                  <c:v>0.5788009041345048</c:v>
                </c:pt>
                <c:pt idx="2">
                  <c:v>2.6661568633213344</c:v>
                </c:pt>
                <c:pt idx="3">
                  <c:v>0.80532214355504717</c:v>
                </c:pt>
                <c:pt idx="4">
                  <c:v>2.4359225784431384</c:v>
                </c:pt>
                <c:pt idx="5">
                  <c:v>0.43259953700192283</c:v>
                </c:pt>
                <c:pt idx="6">
                  <c:v>1.0952531521931879</c:v>
                </c:pt>
                <c:pt idx="7">
                  <c:v>1.0952348426974381</c:v>
                </c:pt>
                <c:pt idx="8">
                  <c:v>0.54975517393859774</c:v>
                </c:pt>
                <c:pt idx="9">
                  <c:v>0.42660888708174394</c:v>
                </c:pt>
              </c:numCache>
            </c:numRef>
          </c:val>
        </c:ser>
        <c:ser>
          <c:idx val="1"/>
          <c:order val="1"/>
          <c:tx>
            <c:strRef>
              <c:f>'2010-2013 structure publica (2'!$K$190</c:f>
              <c:strCache>
                <c:ptCount val="1"/>
                <c:pt idx="0">
                  <c:v>World</c:v>
                </c:pt>
              </c:strCache>
            </c:strRef>
          </c:tx>
          <c:marker>
            <c:symbol val="none"/>
          </c:marker>
          <c:cat>
            <c:strRef>
              <c:f>'2010-2013 structure publica (2'!$A$191:$A$200</c:f>
              <c:strCache>
                <c:ptCount val="10"/>
                <c:pt idx="0">
                  <c:v>Arts and Humanities</c:v>
                </c:pt>
                <c:pt idx="1">
                  <c:v>Engineering and technology</c:v>
                </c:pt>
                <c:pt idx="2">
                  <c:v>Medical and Health sciences</c:v>
                </c:pt>
                <c:pt idx="3">
                  <c:v>Social Sciences</c:v>
                </c:pt>
                <c:pt idx="4">
                  <c:v>Other Natural and Agricultural Science</c:v>
                </c:pt>
                <c:pt idx="5">
                  <c:v>Mathematics</c:v>
                </c:pt>
                <c:pt idx="6">
                  <c:v>Physics and Astronomy</c:v>
                </c:pt>
                <c:pt idx="7">
                  <c:v>Biochemistry, Genetics and Molecular Biology</c:v>
                </c:pt>
                <c:pt idx="8">
                  <c:v>Chemistry</c:v>
                </c:pt>
                <c:pt idx="9">
                  <c:v>Computer Science</c:v>
                </c:pt>
              </c:strCache>
            </c:strRef>
          </c:cat>
          <c:val>
            <c:numRef>
              <c:f>'2010-2013 structure publica (2'!$K$191:$K$200</c:f>
              <c:numCache>
                <c:formatCode>General</c:formatCode>
                <c:ptCount val="10"/>
                <c:pt idx="0">
                  <c:v>1</c:v>
                </c:pt>
                <c:pt idx="1">
                  <c:v>1</c:v>
                </c:pt>
                <c:pt idx="2">
                  <c:v>1</c:v>
                </c:pt>
                <c:pt idx="3">
                  <c:v>1</c:v>
                </c:pt>
                <c:pt idx="4">
                  <c:v>1</c:v>
                </c:pt>
                <c:pt idx="5">
                  <c:v>1</c:v>
                </c:pt>
                <c:pt idx="6">
                  <c:v>1</c:v>
                </c:pt>
                <c:pt idx="7">
                  <c:v>1</c:v>
                </c:pt>
                <c:pt idx="8">
                  <c:v>1</c:v>
                </c:pt>
                <c:pt idx="9">
                  <c:v>1</c:v>
                </c:pt>
              </c:numCache>
            </c:numRef>
          </c:val>
        </c:ser>
        <c:axId val="132205184"/>
        <c:axId val="132206976"/>
      </c:radarChart>
      <c:catAx>
        <c:axId val="132205184"/>
        <c:scaling>
          <c:orientation val="minMax"/>
        </c:scaling>
        <c:axPos val="b"/>
        <c:majorGridlines/>
        <c:numFmt formatCode="General" sourceLinked="1"/>
        <c:tickLblPos val="nextTo"/>
        <c:crossAx val="132206976"/>
        <c:crosses val="autoZero"/>
        <c:lblAlgn val="ctr"/>
        <c:lblOffset val="100"/>
      </c:catAx>
      <c:valAx>
        <c:axId val="132206976"/>
        <c:scaling>
          <c:orientation val="minMax"/>
          <c:min val="-3"/>
        </c:scaling>
        <c:axPos val="l"/>
        <c:majorGridlines/>
        <c:numFmt formatCode="General" sourceLinked="1"/>
        <c:majorTickMark val="cross"/>
        <c:tickLblPos val="nextTo"/>
        <c:crossAx val="132205184"/>
        <c:crosses val="autoZero"/>
        <c:crossBetween val="between"/>
      </c:valAx>
    </c:plotArea>
    <c:plotVisOnly val="1"/>
    <c:dispBlanksAs val="gap"/>
  </c:chart>
  <c:spPr>
    <a:ln>
      <a:noFill/>
    </a:ln>
  </c:spPr>
  <c:txPr>
    <a:bodyPr/>
    <a:lstStyle/>
    <a:p>
      <a:pPr>
        <a:defRPr sz="800"/>
      </a:pPr>
      <a:endParaRPr lang="en-US"/>
    </a:p>
  </c:txPr>
  <c:externalData r:id="rId1"/>
</c:chartSpace>
</file>

<file path=word/charts/chart34.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bar"/>
        <c:grouping val="stacked"/>
        <c:ser>
          <c:idx val="0"/>
          <c:order val="0"/>
          <c:tx>
            <c:strRef>
              <c:f>'[patentebi.xlsx]Compiled table'!$B$34</c:f>
              <c:strCache>
                <c:ptCount val="1"/>
                <c:pt idx="0">
                  <c:v>Local patents</c:v>
                </c:pt>
              </c:strCache>
            </c:strRef>
          </c:tx>
          <c:dLbls>
            <c:showVal val="1"/>
          </c:dLbls>
          <c:cat>
            <c:strRef>
              <c:f>'[patentebi.xlsx]Compiled table'!$A$35:$A$41</c:f>
              <c:strCache>
                <c:ptCount val="7"/>
                <c:pt idx="0">
                  <c:v>Chemistry/Metalurgy</c:v>
                </c:pt>
                <c:pt idx="1">
                  <c:v>Electricity</c:v>
                </c:pt>
                <c:pt idx="2">
                  <c:v>Fixed Constructions</c:v>
                </c:pt>
                <c:pt idx="3">
                  <c:v>Human Necessities</c:v>
                </c:pt>
                <c:pt idx="4">
                  <c:v>Mechanical Engenereeing, lighting</c:v>
                </c:pt>
                <c:pt idx="5">
                  <c:v>Performing Operations/Transporting</c:v>
                </c:pt>
                <c:pt idx="6">
                  <c:v>Physics</c:v>
                </c:pt>
              </c:strCache>
            </c:strRef>
          </c:cat>
          <c:val>
            <c:numRef>
              <c:f>'[patentebi.xlsx]Compiled table'!$B$35:$B$41</c:f>
              <c:numCache>
                <c:formatCode>General</c:formatCode>
                <c:ptCount val="7"/>
                <c:pt idx="0">
                  <c:v>177</c:v>
                </c:pt>
                <c:pt idx="1">
                  <c:v>68</c:v>
                </c:pt>
                <c:pt idx="2">
                  <c:v>85</c:v>
                </c:pt>
                <c:pt idx="3">
                  <c:v>420</c:v>
                </c:pt>
                <c:pt idx="4">
                  <c:v>274</c:v>
                </c:pt>
                <c:pt idx="5">
                  <c:v>236</c:v>
                </c:pt>
                <c:pt idx="6">
                  <c:v>100</c:v>
                </c:pt>
              </c:numCache>
            </c:numRef>
          </c:val>
        </c:ser>
        <c:ser>
          <c:idx val="1"/>
          <c:order val="1"/>
          <c:tx>
            <c:strRef>
              <c:f>'[patentebi.xlsx]Compiled table'!$C$34</c:f>
              <c:strCache>
                <c:ptCount val="1"/>
                <c:pt idx="0">
                  <c:v>International patents</c:v>
                </c:pt>
              </c:strCache>
            </c:strRef>
          </c:tx>
          <c:dLbls>
            <c:showVal val="1"/>
          </c:dLbls>
          <c:cat>
            <c:strRef>
              <c:f>'[patentebi.xlsx]Compiled table'!$A$35:$A$41</c:f>
              <c:strCache>
                <c:ptCount val="7"/>
                <c:pt idx="0">
                  <c:v>Chemistry/Metalurgy</c:v>
                </c:pt>
                <c:pt idx="1">
                  <c:v>Electricity</c:v>
                </c:pt>
                <c:pt idx="2">
                  <c:v>Fixed Constructions</c:v>
                </c:pt>
                <c:pt idx="3">
                  <c:v>Human Necessities</c:v>
                </c:pt>
                <c:pt idx="4">
                  <c:v>Mechanical Engenereeing, lighting</c:v>
                </c:pt>
                <c:pt idx="5">
                  <c:v>Performing Operations/Transporting</c:v>
                </c:pt>
                <c:pt idx="6">
                  <c:v>Physics</c:v>
                </c:pt>
              </c:strCache>
            </c:strRef>
          </c:cat>
          <c:val>
            <c:numRef>
              <c:f>'[patentebi.xlsx]Compiled table'!$C$35:$C$41</c:f>
              <c:numCache>
                <c:formatCode>General</c:formatCode>
                <c:ptCount val="7"/>
                <c:pt idx="0">
                  <c:v>709</c:v>
                </c:pt>
                <c:pt idx="1">
                  <c:v>112</c:v>
                </c:pt>
                <c:pt idx="2">
                  <c:v>32</c:v>
                </c:pt>
                <c:pt idx="3">
                  <c:v>491</c:v>
                </c:pt>
                <c:pt idx="4">
                  <c:v>38</c:v>
                </c:pt>
                <c:pt idx="5">
                  <c:v>80</c:v>
                </c:pt>
                <c:pt idx="6">
                  <c:v>33</c:v>
                </c:pt>
              </c:numCache>
            </c:numRef>
          </c:val>
        </c:ser>
        <c:dLbls>
          <c:showVal val="1"/>
        </c:dLbls>
        <c:gapWidth val="75"/>
        <c:overlap val="100"/>
        <c:axId val="132242816"/>
        <c:axId val="132252800"/>
      </c:barChart>
      <c:catAx>
        <c:axId val="132242816"/>
        <c:scaling>
          <c:orientation val="minMax"/>
        </c:scaling>
        <c:axPos val="l"/>
        <c:majorTickMark val="none"/>
        <c:tickLblPos val="nextTo"/>
        <c:crossAx val="132252800"/>
        <c:crosses val="autoZero"/>
        <c:auto val="1"/>
        <c:lblAlgn val="ctr"/>
        <c:lblOffset val="100"/>
      </c:catAx>
      <c:valAx>
        <c:axId val="132252800"/>
        <c:scaling>
          <c:orientation val="minMax"/>
        </c:scaling>
        <c:delete val="1"/>
        <c:axPos val="b"/>
        <c:numFmt formatCode="General" sourceLinked="1"/>
        <c:majorTickMark val="none"/>
        <c:tickLblPos val="nextTo"/>
        <c:crossAx val="132242816"/>
        <c:crosses val="autoZero"/>
        <c:crossBetween val="between"/>
      </c:valAx>
    </c:plotArea>
    <c:legend>
      <c:legendPos val="b"/>
    </c:legend>
    <c:plotVisOnly val="1"/>
    <c:dispBlanksAs val="gap"/>
  </c:chart>
  <c:spPr>
    <a:ln>
      <a:noFill/>
    </a:ln>
  </c:spPr>
  <c:externalData r:id="rId1"/>
</c:chartSpace>
</file>

<file path=word/charts/chart35.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9.5771717559695282E-2"/>
          <c:y val="5.1400554097404488E-2"/>
          <c:w val="0.86357787593623958"/>
          <c:h val="0.51855205599300069"/>
        </c:manualLayout>
      </c:layout>
      <c:lineChart>
        <c:grouping val="standard"/>
        <c:ser>
          <c:idx val="0"/>
          <c:order val="0"/>
          <c:tx>
            <c:strRef>
              <c:f>'[patentebi.xlsx]Compiled table'!$A$15</c:f>
              <c:strCache>
                <c:ptCount val="1"/>
                <c:pt idx="0">
                  <c:v>Chemistry/Metalurgy</c:v>
                </c:pt>
              </c:strCache>
            </c:strRef>
          </c:tx>
          <c:marker>
            <c:symbol val="none"/>
          </c:marker>
          <c:cat>
            <c:numRef>
              <c:f>'[patentebi.xlsx]Compiled table'!$B$14:$K$14</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'[patentebi.xlsx]Compiled table'!$B$15:$K$15</c:f>
              <c:numCache>
                <c:formatCode>General</c:formatCode>
                <c:ptCount val="10"/>
                <c:pt idx="0">
                  <c:v>26</c:v>
                </c:pt>
                <c:pt idx="1">
                  <c:v>28</c:v>
                </c:pt>
                <c:pt idx="2">
                  <c:v>13</c:v>
                </c:pt>
                <c:pt idx="3">
                  <c:v>15</c:v>
                </c:pt>
                <c:pt idx="4">
                  <c:v>17</c:v>
                </c:pt>
                <c:pt idx="5">
                  <c:v>28</c:v>
                </c:pt>
                <c:pt idx="6">
                  <c:v>9</c:v>
                </c:pt>
                <c:pt idx="7">
                  <c:v>14</c:v>
                </c:pt>
                <c:pt idx="8">
                  <c:v>10</c:v>
                </c:pt>
                <c:pt idx="9">
                  <c:v>17</c:v>
                </c:pt>
              </c:numCache>
            </c:numRef>
          </c:val>
        </c:ser>
        <c:ser>
          <c:idx val="1"/>
          <c:order val="1"/>
          <c:tx>
            <c:strRef>
              <c:f>'[patentebi.xlsx]Compiled table'!$A$16</c:f>
              <c:strCache>
                <c:ptCount val="1"/>
                <c:pt idx="0">
                  <c:v>Electricity</c:v>
                </c:pt>
              </c:strCache>
            </c:strRef>
          </c:tx>
          <c:marker>
            <c:symbol val="none"/>
          </c:marker>
          <c:cat>
            <c:numRef>
              <c:f>'[patentebi.xlsx]Compiled table'!$B$14:$K$14</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'[patentebi.xlsx]Compiled table'!$B$16:$K$16</c:f>
              <c:numCache>
                <c:formatCode>General</c:formatCode>
                <c:ptCount val="10"/>
                <c:pt idx="0">
                  <c:v>7</c:v>
                </c:pt>
                <c:pt idx="1">
                  <c:v>8</c:v>
                </c:pt>
                <c:pt idx="2">
                  <c:v>5</c:v>
                </c:pt>
                <c:pt idx="3">
                  <c:v>7</c:v>
                </c:pt>
                <c:pt idx="4">
                  <c:v>6</c:v>
                </c:pt>
                <c:pt idx="5">
                  <c:v>7</c:v>
                </c:pt>
                <c:pt idx="6">
                  <c:v>6</c:v>
                </c:pt>
                <c:pt idx="7">
                  <c:v>8</c:v>
                </c:pt>
                <c:pt idx="8">
                  <c:v>8</c:v>
                </c:pt>
                <c:pt idx="9">
                  <c:v>6</c:v>
                </c:pt>
              </c:numCache>
            </c:numRef>
          </c:val>
        </c:ser>
        <c:ser>
          <c:idx val="2"/>
          <c:order val="2"/>
          <c:tx>
            <c:strRef>
              <c:f>'[patentebi.xlsx]Compiled table'!$A$17</c:f>
              <c:strCache>
                <c:ptCount val="1"/>
                <c:pt idx="0">
                  <c:v>Fixed Constructions</c:v>
                </c:pt>
              </c:strCache>
            </c:strRef>
          </c:tx>
          <c:marker>
            <c:symbol val="none"/>
          </c:marker>
          <c:cat>
            <c:numRef>
              <c:f>'[patentebi.xlsx]Compiled table'!$B$14:$K$14</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'[patentebi.xlsx]Compiled table'!$B$17:$K$17</c:f>
              <c:numCache>
                <c:formatCode>General</c:formatCode>
                <c:ptCount val="10"/>
                <c:pt idx="0">
                  <c:v>8</c:v>
                </c:pt>
                <c:pt idx="1">
                  <c:v>12</c:v>
                </c:pt>
                <c:pt idx="2">
                  <c:v>3</c:v>
                </c:pt>
                <c:pt idx="3">
                  <c:v>4</c:v>
                </c:pt>
                <c:pt idx="4">
                  <c:v>10</c:v>
                </c:pt>
                <c:pt idx="5">
                  <c:v>7</c:v>
                </c:pt>
                <c:pt idx="6">
                  <c:v>8</c:v>
                </c:pt>
                <c:pt idx="7">
                  <c:v>8</c:v>
                </c:pt>
                <c:pt idx="8">
                  <c:v>15</c:v>
                </c:pt>
                <c:pt idx="9">
                  <c:v>10</c:v>
                </c:pt>
              </c:numCache>
            </c:numRef>
          </c:val>
        </c:ser>
        <c:ser>
          <c:idx val="3"/>
          <c:order val="3"/>
          <c:tx>
            <c:strRef>
              <c:f>'[patentebi.xlsx]Compiled table'!$A$18</c:f>
              <c:strCache>
                <c:ptCount val="1"/>
                <c:pt idx="0">
                  <c:v>Human Necessities</c:v>
                </c:pt>
              </c:strCache>
            </c:strRef>
          </c:tx>
          <c:marker>
            <c:symbol val="none"/>
          </c:marker>
          <c:cat>
            <c:numRef>
              <c:f>'[patentebi.xlsx]Compiled table'!$B$14:$K$14</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'[patentebi.xlsx]Compiled table'!$B$18:$K$18</c:f>
              <c:numCache>
                <c:formatCode>General</c:formatCode>
                <c:ptCount val="10"/>
                <c:pt idx="0">
                  <c:v>41</c:v>
                </c:pt>
                <c:pt idx="1">
                  <c:v>52</c:v>
                </c:pt>
                <c:pt idx="2">
                  <c:v>48</c:v>
                </c:pt>
                <c:pt idx="3">
                  <c:v>43</c:v>
                </c:pt>
                <c:pt idx="4">
                  <c:v>57</c:v>
                </c:pt>
                <c:pt idx="5">
                  <c:v>42</c:v>
                </c:pt>
                <c:pt idx="6">
                  <c:v>42</c:v>
                </c:pt>
                <c:pt idx="7">
                  <c:v>40</c:v>
                </c:pt>
                <c:pt idx="8">
                  <c:v>29</c:v>
                </c:pt>
                <c:pt idx="9">
                  <c:v>26</c:v>
                </c:pt>
              </c:numCache>
            </c:numRef>
          </c:val>
        </c:ser>
        <c:ser>
          <c:idx val="4"/>
          <c:order val="4"/>
          <c:tx>
            <c:strRef>
              <c:f>'[patentebi.xlsx]Compiled table'!$A$19</c:f>
              <c:strCache>
                <c:ptCount val="1"/>
                <c:pt idx="0">
                  <c:v>Mechanical Engenereeing, lighting</c:v>
                </c:pt>
              </c:strCache>
            </c:strRef>
          </c:tx>
          <c:marker>
            <c:symbol val="none"/>
          </c:marker>
          <c:cat>
            <c:numRef>
              <c:f>'[patentebi.xlsx]Compiled table'!$B$14:$K$14</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'[patentebi.xlsx]Compiled table'!$B$19:$K$19</c:f>
              <c:numCache>
                <c:formatCode>General</c:formatCode>
                <c:ptCount val="10"/>
                <c:pt idx="0">
                  <c:v>24</c:v>
                </c:pt>
                <c:pt idx="1">
                  <c:v>35</c:v>
                </c:pt>
                <c:pt idx="2">
                  <c:v>32</c:v>
                </c:pt>
                <c:pt idx="3">
                  <c:v>31</c:v>
                </c:pt>
                <c:pt idx="4">
                  <c:v>28</c:v>
                </c:pt>
                <c:pt idx="5">
                  <c:v>20</c:v>
                </c:pt>
                <c:pt idx="6">
                  <c:v>23</c:v>
                </c:pt>
                <c:pt idx="7">
                  <c:v>20</c:v>
                </c:pt>
                <c:pt idx="8">
                  <c:v>37</c:v>
                </c:pt>
                <c:pt idx="9">
                  <c:v>24</c:v>
                </c:pt>
              </c:numCache>
            </c:numRef>
          </c:val>
        </c:ser>
        <c:ser>
          <c:idx val="5"/>
          <c:order val="5"/>
          <c:tx>
            <c:strRef>
              <c:f>'[patentebi.xlsx]Compiled table'!$A$20</c:f>
              <c:strCache>
                <c:ptCount val="1"/>
                <c:pt idx="0">
                  <c:v>Performing Operations/Transporting</c:v>
                </c:pt>
              </c:strCache>
            </c:strRef>
          </c:tx>
          <c:marker>
            <c:symbol val="none"/>
          </c:marker>
          <c:cat>
            <c:numRef>
              <c:f>'[patentebi.xlsx]Compiled table'!$B$14:$K$14</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'[patentebi.xlsx]Compiled table'!$B$20:$K$20</c:f>
              <c:numCache>
                <c:formatCode>General</c:formatCode>
                <c:ptCount val="10"/>
                <c:pt idx="0">
                  <c:v>20</c:v>
                </c:pt>
                <c:pt idx="1">
                  <c:v>36</c:v>
                </c:pt>
                <c:pt idx="2">
                  <c:v>25</c:v>
                </c:pt>
                <c:pt idx="3">
                  <c:v>21</c:v>
                </c:pt>
                <c:pt idx="4">
                  <c:v>16</c:v>
                </c:pt>
                <c:pt idx="5">
                  <c:v>28</c:v>
                </c:pt>
                <c:pt idx="6">
                  <c:v>27</c:v>
                </c:pt>
                <c:pt idx="7">
                  <c:v>12</c:v>
                </c:pt>
                <c:pt idx="8">
                  <c:v>31</c:v>
                </c:pt>
                <c:pt idx="9">
                  <c:v>20</c:v>
                </c:pt>
              </c:numCache>
            </c:numRef>
          </c:val>
        </c:ser>
        <c:ser>
          <c:idx val="6"/>
          <c:order val="6"/>
          <c:tx>
            <c:strRef>
              <c:f>'[patentebi.xlsx]Compiled table'!$A$21</c:f>
              <c:strCache>
                <c:ptCount val="1"/>
                <c:pt idx="0">
                  <c:v>Physics</c:v>
                </c:pt>
              </c:strCache>
            </c:strRef>
          </c:tx>
          <c:marker>
            <c:symbol val="none"/>
          </c:marker>
          <c:cat>
            <c:numRef>
              <c:f>'[patentebi.xlsx]Compiled table'!$B$14:$K$14</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'[patentebi.xlsx]Compiled table'!$B$21:$K$21</c:f>
              <c:numCache>
                <c:formatCode>General</c:formatCode>
                <c:ptCount val="10"/>
                <c:pt idx="0">
                  <c:v>9</c:v>
                </c:pt>
                <c:pt idx="1">
                  <c:v>18</c:v>
                </c:pt>
                <c:pt idx="2">
                  <c:v>14</c:v>
                </c:pt>
                <c:pt idx="3">
                  <c:v>8</c:v>
                </c:pt>
                <c:pt idx="4">
                  <c:v>6</c:v>
                </c:pt>
                <c:pt idx="5">
                  <c:v>15</c:v>
                </c:pt>
                <c:pt idx="6">
                  <c:v>14</c:v>
                </c:pt>
                <c:pt idx="7">
                  <c:v>4</c:v>
                </c:pt>
                <c:pt idx="8">
                  <c:v>12</c:v>
                </c:pt>
              </c:numCache>
            </c:numRef>
          </c:val>
        </c:ser>
        <c:ser>
          <c:idx val="7"/>
          <c:order val="7"/>
          <c:tx>
            <c:strRef>
              <c:f>'[patentebi.xlsx]Compiled table'!$A$22</c:f>
              <c:strCache>
                <c:ptCount val="1"/>
                <c:pt idx="0">
                  <c:v>Textile/Paper</c:v>
                </c:pt>
              </c:strCache>
            </c:strRef>
          </c:tx>
          <c:marker>
            <c:symbol val="none"/>
          </c:marker>
          <c:cat>
            <c:numRef>
              <c:f>'[patentebi.xlsx]Compiled table'!$B$14:$K$14</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'[patentebi.xlsx]Compiled table'!$B$22:$K$22</c:f>
              <c:numCache>
                <c:formatCode>General</c:formatCode>
                <c:ptCount val="10"/>
                <c:pt idx="0">
                  <c:v>1</c:v>
                </c:pt>
                <c:pt idx="1">
                  <c:v>1</c:v>
                </c:pt>
                <c:pt idx="2">
                  <c:v>2</c:v>
                </c:pt>
                <c:pt idx="3">
                  <c:v>1</c:v>
                </c:pt>
                <c:pt idx="4">
                  <c:v>1</c:v>
                </c:pt>
                <c:pt idx="8">
                  <c:v>1</c:v>
                </c:pt>
                <c:pt idx="9">
                  <c:v>1</c:v>
                </c:pt>
              </c:numCache>
            </c:numRef>
          </c:val>
        </c:ser>
        <c:marker val="1"/>
        <c:axId val="132368640"/>
        <c:axId val="132386816"/>
      </c:lineChart>
      <c:catAx>
        <c:axId val="132368640"/>
        <c:scaling>
          <c:orientation val="minMax"/>
        </c:scaling>
        <c:axPos val="b"/>
        <c:numFmt formatCode="General" sourceLinked="1"/>
        <c:majorTickMark val="none"/>
        <c:tickLblPos val="nextTo"/>
        <c:txPr>
          <a:bodyPr/>
          <a:lstStyle/>
          <a:p>
            <a:pPr>
              <a:defRPr sz="800"/>
            </a:pPr>
            <a:endParaRPr lang="en-US"/>
          </a:p>
        </c:txPr>
        <c:crossAx val="132386816"/>
        <c:crosses val="autoZero"/>
        <c:auto val="1"/>
        <c:lblAlgn val="ctr"/>
        <c:lblOffset val="100"/>
      </c:catAx>
      <c:valAx>
        <c:axId val="132386816"/>
        <c:scaling>
          <c:orientation val="minMax"/>
        </c:scaling>
        <c:axPos val="l"/>
        <c:numFmt formatCode="General" sourceLinked="1"/>
        <c:majorTickMark val="none"/>
        <c:tickLblPos val="nextTo"/>
        <c:crossAx val="132368640"/>
        <c:crosses val="autoZero"/>
        <c:crossBetween val="between"/>
      </c:valAx>
    </c:plotArea>
    <c:legend>
      <c:legendPos val="b"/>
      <c:layout>
        <c:manualLayout>
          <c:xMode val="edge"/>
          <c:yMode val="edge"/>
          <c:x val="7.7653357489605834E-2"/>
          <c:y val="0.66536233275718581"/>
          <c:w val="0.84764313752816345"/>
          <c:h val="0.31621535112988941"/>
        </c:manualLayout>
      </c:layout>
      <c:txPr>
        <a:bodyPr/>
        <a:lstStyle/>
        <a:p>
          <a:pPr>
            <a:defRPr sz="800"/>
          </a:pPr>
          <a:endParaRPr lang="en-US"/>
        </a:p>
      </c:txPr>
    </c:legend>
    <c:plotVisOnly val="1"/>
    <c:dispBlanksAs val="gap"/>
  </c:chart>
  <c:spPr>
    <a:ln>
      <a:noFill/>
    </a:ln>
  </c:spPr>
  <c:externalData r:id="rId1"/>
</c:chartSpace>
</file>

<file path=word/charts/chart36.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10328608923884516"/>
          <c:y val="5.2124505563565092E-2"/>
          <c:w val="0.86004724409448863"/>
          <c:h val="0.51490407008983052"/>
        </c:manualLayout>
      </c:layout>
      <c:lineChart>
        <c:grouping val="standard"/>
        <c:ser>
          <c:idx val="0"/>
          <c:order val="0"/>
          <c:tx>
            <c:strRef>
              <c:f>'[patentebi.xlsx]Compiled table'!$A$24</c:f>
              <c:strCache>
                <c:ptCount val="1"/>
                <c:pt idx="0">
                  <c:v>Chemistry/Metalurgy</c:v>
                </c:pt>
              </c:strCache>
            </c:strRef>
          </c:tx>
          <c:marker>
            <c:symbol val="none"/>
          </c:marker>
          <c:cat>
            <c:numRef>
              <c:f>'[patentebi.xlsx]Compiled table'!$B$23:$K$23</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'[patentebi.xlsx]Compiled table'!$B$24:$K$24</c:f>
              <c:numCache>
                <c:formatCode>General</c:formatCode>
                <c:ptCount val="10"/>
                <c:pt idx="0">
                  <c:v>73</c:v>
                </c:pt>
                <c:pt idx="1">
                  <c:v>60</c:v>
                </c:pt>
                <c:pt idx="2">
                  <c:v>70</c:v>
                </c:pt>
                <c:pt idx="3">
                  <c:v>69</c:v>
                </c:pt>
                <c:pt idx="4">
                  <c:v>79</c:v>
                </c:pt>
                <c:pt idx="5">
                  <c:v>60</c:v>
                </c:pt>
                <c:pt idx="6">
                  <c:v>56</c:v>
                </c:pt>
                <c:pt idx="7">
                  <c:v>60</c:v>
                </c:pt>
                <c:pt idx="8">
                  <c:v>102</c:v>
                </c:pt>
                <c:pt idx="9">
                  <c:v>80</c:v>
                </c:pt>
              </c:numCache>
            </c:numRef>
          </c:val>
        </c:ser>
        <c:ser>
          <c:idx val="1"/>
          <c:order val="1"/>
          <c:tx>
            <c:strRef>
              <c:f>'[patentebi.xlsx]Compiled table'!$A$25</c:f>
              <c:strCache>
                <c:ptCount val="1"/>
                <c:pt idx="0">
                  <c:v>Electricity</c:v>
                </c:pt>
              </c:strCache>
            </c:strRef>
          </c:tx>
          <c:marker>
            <c:symbol val="none"/>
          </c:marker>
          <c:cat>
            <c:numRef>
              <c:f>'[patentebi.xlsx]Compiled table'!$B$23:$K$23</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'[patentebi.xlsx]Compiled table'!$B$25:$K$25</c:f>
              <c:numCache>
                <c:formatCode>General</c:formatCode>
                <c:ptCount val="10"/>
                <c:pt idx="0">
                  <c:v>1</c:v>
                </c:pt>
                <c:pt idx="1">
                  <c:v>1</c:v>
                </c:pt>
                <c:pt idx="2">
                  <c:v>10</c:v>
                </c:pt>
                <c:pt idx="3">
                  <c:v>13</c:v>
                </c:pt>
                <c:pt idx="4">
                  <c:v>7</c:v>
                </c:pt>
                <c:pt idx="5">
                  <c:v>20</c:v>
                </c:pt>
                <c:pt idx="6">
                  <c:v>26</c:v>
                </c:pt>
                <c:pt idx="7">
                  <c:v>13</c:v>
                </c:pt>
                <c:pt idx="8">
                  <c:v>18</c:v>
                </c:pt>
                <c:pt idx="9">
                  <c:v>3</c:v>
                </c:pt>
              </c:numCache>
            </c:numRef>
          </c:val>
        </c:ser>
        <c:ser>
          <c:idx val="2"/>
          <c:order val="2"/>
          <c:tx>
            <c:strRef>
              <c:f>'[patentebi.xlsx]Compiled table'!$A$26</c:f>
              <c:strCache>
                <c:ptCount val="1"/>
                <c:pt idx="0">
                  <c:v>Fixed Constructions</c:v>
                </c:pt>
              </c:strCache>
            </c:strRef>
          </c:tx>
          <c:marker>
            <c:symbol val="none"/>
          </c:marker>
          <c:cat>
            <c:numRef>
              <c:f>'[patentebi.xlsx]Compiled table'!$B$23:$K$23</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'[patentebi.xlsx]Compiled table'!$B$26:$K$26</c:f>
              <c:numCache>
                <c:formatCode>General</c:formatCode>
                <c:ptCount val="10"/>
                <c:pt idx="0">
                  <c:v>1</c:v>
                </c:pt>
                <c:pt idx="1">
                  <c:v>1</c:v>
                </c:pt>
                <c:pt idx="2">
                  <c:v>2</c:v>
                </c:pt>
                <c:pt idx="3">
                  <c:v>2</c:v>
                </c:pt>
                <c:pt idx="4">
                  <c:v>3</c:v>
                </c:pt>
                <c:pt idx="5">
                  <c:v>2</c:v>
                </c:pt>
                <c:pt idx="6">
                  <c:v>3</c:v>
                </c:pt>
                <c:pt idx="7">
                  <c:v>2</c:v>
                </c:pt>
                <c:pt idx="8">
                  <c:v>8</c:v>
                </c:pt>
                <c:pt idx="9">
                  <c:v>8</c:v>
                </c:pt>
              </c:numCache>
            </c:numRef>
          </c:val>
        </c:ser>
        <c:ser>
          <c:idx val="3"/>
          <c:order val="3"/>
          <c:tx>
            <c:strRef>
              <c:f>'[patentebi.xlsx]Compiled table'!$A$27</c:f>
              <c:strCache>
                <c:ptCount val="1"/>
                <c:pt idx="0">
                  <c:v>Human Necessities</c:v>
                </c:pt>
              </c:strCache>
            </c:strRef>
          </c:tx>
          <c:marker>
            <c:symbol val="none"/>
          </c:marker>
          <c:cat>
            <c:numRef>
              <c:f>'[patentebi.xlsx]Compiled table'!$B$23:$K$23</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'[patentebi.xlsx]Compiled table'!$B$27:$K$27</c:f>
              <c:numCache>
                <c:formatCode>General</c:formatCode>
                <c:ptCount val="10"/>
                <c:pt idx="0">
                  <c:v>46</c:v>
                </c:pt>
                <c:pt idx="1">
                  <c:v>51</c:v>
                </c:pt>
                <c:pt idx="2">
                  <c:v>51</c:v>
                </c:pt>
                <c:pt idx="3">
                  <c:v>43</c:v>
                </c:pt>
                <c:pt idx="4">
                  <c:v>58</c:v>
                </c:pt>
                <c:pt idx="5">
                  <c:v>54</c:v>
                </c:pt>
                <c:pt idx="6">
                  <c:v>32</c:v>
                </c:pt>
                <c:pt idx="7">
                  <c:v>42</c:v>
                </c:pt>
                <c:pt idx="8">
                  <c:v>51</c:v>
                </c:pt>
                <c:pt idx="9">
                  <c:v>63</c:v>
                </c:pt>
              </c:numCache>
            </c:numRef>
          </c:val>
        </c:ser>
        <c:ser>
          <c:idx val="4"/>
          <c:order val="4"/>
          <c:tx>
            <c:strRef>
              <c:f>'[patentebi.xlsx]Compiled table'!$A$28</c:f>
              <c:strCache>
                <c:ptCount val="1"/>
                <c:pt idx="0">
                  <c:v>Mechanical Engenereeing, lighting</c:v>
                </c:pt>
              </c:strCache>
            </c:strRef>
          </c:tx>
          <c:marker>
            <c:symbol val="none"/>
          </c:marker>
          <c:cat>
            <c:numRef>
              <c:f>'[patentebi.xlsx]Compiled table'!$B$23:$K$23</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'[patentebi.xlsx]Compiled table'!$B$28:$K$28</c:f>
              <c:numCache>
                <c:formatCode>General</c:formatCode>
                <c:ptCount val="10"/>
                <c:pt idx="0">
                  <c:v>4</c:v>
                </c:pt>
                <c:pt idx="1">
                  <c:v>5</c:v>
                </c:pt>
                <c:pt idx="2">
                  <c:v>4</c:v>
                </c:pt>
                <c:pt idx="3">
                  <c:v>7</c:v>
                </c:pt>
                <c:pt idx="4">
                  <c:v>2</c:v>
                </c:pt>
                <c:pt idx="5">
                  <c:v>2</c:v>
                </c:pt>
                <c:pt idx="7">
                  <c:v>1</c:v>
                </c:pt>
                <c:pt idx="8">
                  <c:v>8</c:v>
                </c:pt>
                <c:pt idx="9">
                  <c:v>5</c:v>
                </c:pt>
              </c:numCache>
            </c:numRef>
          </c:val>
        </c:ser>
        <c:ser>
          <c:idx val="5"/>
          <c:order val="5"/>
          <c:tx>
            <c:strRef>
              <c:f>'[patentebi.xlsx]Compiled table'!$A$29</c:f>
              <c:strCache>
                <c:ptCount val="1"/>
                <c:pt idx="0">
                  <c:v>Performing Operations/Transporting</c:v>
                </c:pt>
              </c:strCache>
            </c:strRef>
          </c:tx>
          <c:marker>
            <c:symbol val="none"/>
          </c:marker>
          <c:cat>
            <c:numRef>
              <c:f>'[patentebi.xlsx]Compiled table'!$B$23:$K$23</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'[patentebi.xlsx]Compiled table'!$B$29:$K$29</c:f>
              <c:numCache>
                <c:formatCode>General</c:formatCode>
                <c:ptCount val="10"/>
                <c:pt idx="0">
                  <c:v>7</c:v>
                </c:pt>
                <c:pt idx="1">
                  <c:v>10</c:v>
                </c:pt>
                <c:pt idx="2">
                  <c:v>5</c:v>
                </c:pt>
                <c:pt idx="3">
                  <c:v>7</c:v>
                </c:pt>
                <c:pt idx="4">
                  <c:v>4</c:v>
                </c:pt>
                <c:pt idx="5">
                  <c:v>6</c:v>
                </c:pt>
                <c:pt idx="6">
                  <c:v>9</c:v>
                </c:pt>
                <c:pt idx="7">
                  <c:v>10</c:v>
                </c:pt>
                <c:pt idx="8">
                  <c:v>11</c:v>
                </c:pt>
                <c:pt idx="9">
                  <c:v>11</c:v>
                </c:pt>
              </c:numCache>
            </c:numRef>
          </c:val>
        </c:ser>
        <c:ser>
          <c:idx val="6"/>
          <c:order val="6"/>
          <c:tx>
            <c:strRef>
              <c:f>'[patentebi.xlsx]Compiled table'!$A$30</c:f>
              <c:strCache>
                <c:ptCount val="1"/>
                <c:pt idx="0">
                  <c:v>Physics</c:v>
                </c:pt>
              </c:strCache>
            </c:strRef>
          </c:tx>
          <c:marker>
            <c:symbol val="none"/>
          </c:marker>
          <c:cat>
            <c:numRef>
              <c:f>'[patentebi.xlsx]Compiled table'!$B$23:$K$23</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'[patentebi.xlsx]Compiled table'!$B$30:$K$30</c:f>
              <c:numCache>
                <c:formatCode>General</c:formatCode>
                <c:ptCount val="10"/>
                <c:pt idx="0">
                  <c:v>1</c:v>
                </c:pt>
                <c:pt idx="1">
                  <c:v>2</c:v>
                </c:pt>
                <c:pt idx="2">
                  <c:v>2</c:v>
                </c:pt>
                <c:pt idx="4">
                  <c:v>3</c:v>
                </c:pt>
                <c:pt idx="5">
                  <c:v>2</c:v>
                </c:pt>
                <c:pt idx="6">
                  <c:v>3</c:v>
                </c:pt>
                <c:pt idx="7">
                  <c:v>3</c:v>
                </c:pt>
                <c:pt idx="8">
                  <c:v>5</c:v>
                </c:pt>
                <c:pt idx="9">
                  <c:v>12</c:v>
                </c:pt>
              </c:numCache>
            </c:numRef>
          </c:val>
        </c:ser>
        <c:marker val="1"/>
        <c:axId val="132446848"/>
        <c:axId val="132456832"/>
      </c:lineChart>
      <c:catAx>
        <c:axId val="132446848"/>
        <c:scaling>
          <c:orientation val="minMax"/>
        </c:scaling>
        <c:axPos val="b"/>
        <c:numFmt formatCode="General" sourceLinked="1"/>
        <c:majorTickMark val="none"/>
        <c:tickLblPos val="nextTo"/>
        <c:txPr>
          <a:bodyPr/>
          <a:lstStyle/>
          <a:p>
            <a:pPr>
              <a:defRPr sz="800"/>
            </a:pPr>
            <a:endParaRPr lang="en-US"/>
          </a:p>
        </c:txPr>
        <c:crossAx val="132456832"/>
        <c:crosses val="autoZero"/>
        <c:auto val="1"/>
        <c:lblAlgn val="ctr"/>
        <c:lblOffset val="100"/>
      </c:catAx>
      <c:valAx>
        <c:axId val="132456832"/>
        <c:scaling>
          <c:orientation val="minMax"/>
          <c:max val="120"/>
          <c:min val="0"/>
        </c:scaling>
        <c:axPos val="l"/>
        <c:numFmt formatCode="General" sourceLinked="1"/>
        <c:majorTickMark val="none"/>
        <c:tickLblPos val="nextTo"/>
        <c:crossAx val="132446848"/>
        <c:crosses val="autoZero"/>
        <c:crossBetween val="between"/>
      </c:valAx>
    </c:plotArea>
    <c:legend>
      <c:legendPos val="b"/>
      <c:layout>
        <c:manualLayout>
          <c:xMode val="edge"/>
          <c:yMode val="edge"/>
          <c:x val="9.1374015748031501E-2"/>
          <c:y val="0.66116779416657456"/>
          <c:w val="0.82391837270341228"/>
          <c:h val="0.31066319174891877"/>
        </c:manualLayout>
      </c:layout>
      <c:txPr>
        <a:bodyPr/>
        <a:lstStyle/>
        <a:p>
          <a:pPr>
            <a:defRPr sz="800"/>
          </a:pPr>
          <a:endParaRPr lang="en-US"/>
        </a:p>
      </c:txPr>
    </c:legend>
    <c:plotVisOnly val="1"/>
    <c:dispBlanksAs val="gap"/>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plotArea>
      <c:layout/>
      <c:lineChart>
        <c:grouping val="standard"/>
        <c:ser>
          <c:idx val="0"/>
          <c:order val="0"/>
          <c:tx>
            <c:strRef>
              <c:f>'Thomson Total Production'!$B$12</c:f>
              <c:strCache>
                <c:ptCount val="1"/>
                <c:pt idx="0">
                  <c:v>Russia</c:v>
                </c:pt>
              </c:strCache>
            </c:strRef>
          </c:tx>
          <c:marker>
            <c:symbol val="none"/>
          </c:marker>
          <c:cat>
            <c:numRef>
              <c:f>'Thomson Total Production'!$A$13:$A$22</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'Thomson Total Production'!$B$13:$B$22</c:f>
              <c:numCache>
                <c:formatCode>0.00</c:formatCode>
                <c:ptCount val="10"/>
                <c:pt idx="0" formatCode="General">
                  <c:v>1</c:v>
                </c:pt>
                <c:pt idx="1">
                  <c:v>0.98473159106515329</c:v>
                </c:pt>
                <c:pt idx="2">
                  <c:v>0.95875913882942221</c:v>
                </c:pt>
                <c:pt idx="3">
                  <c:v>1.0134103485882782</c:v>
                </c:pt>
                <c:pt idx="4">
                  <c:v>1.0873692289049555</c:v>
                </c:pt>
                <c:pt idx="5">
                  <c:v>1.1138667851516737</c:v>
                </c:pt>
                <c:pt idx="6">
                  <c:v>1.083612715595589</c:v>
                </c:pt>
                <c:pt idx="7">
                  <c:v>1.1451306701135033</c:v>
                </c:pt>
                <c:pt idx="8">
                  <c:v>1.111927939572646</c:v>
                </c:pt>
                <c:pt idx="9">
                  <c:v>1.1334975966393344</c:v>
                </c:pt>
              </c:numCache>
            </c:numRef>
          </c:val>
        </c:ser>
        <c:ser>
          <c:idx val="1"/>
          <c:order val="1"/>
          <c:tx>
            <c:strRef>
              <c:f>'Thomson Total Production'!$C$12</c:f>
              <c:strCache>
                <c:ptCount val="1"/>
                <c:pt idx="0">
                  <c:v>Georgia</c:v>
                </c:pt>
              </c:strCache>
            </c:strRef>
          </c:tx>
          <c:spPr>
            <a:ln w="38100"/>
          </c:spPr>
          <c:marker>
            <c:symbol val="none"/>
          </c:marker>
          <c:cat>
            <c:numRef>
              <c:f>'Thomson Total Production'!$A$13:$A$22</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'Thomson Total Production'!$C$13:$C$22</c:f>
              <c:numCache>
                <c:formatCode>0.00</c:formatCode>
                <c:ptCount val="10"/>
                <c:pt idx="0" formatCode="General">
                  <c:v>1</c:v>
                </c:pt>
                <c:pt idx="1">
                  <c:v>1.0267558528428093</c:v>
                </c:pt>
                <c:pt idx="2">
                  <c:v>1.1973244147157196</c:v>
                </c:pt>
                <c:pt idx="3">
                  <c:v>1.0869565217391308</c:v>
                </c:pt>
                <c:pt idx="4">
                  <c:v>1.1304347826086956</c:v>
                </c:pt>
                <c:pt idx="5">
                  <c:v>1.2240802675585285</c:v>
                </c:pt>
                <c:pt idx="6">
                  <c:v>1.294314381270903</c:v>
                </c:pt>
                <c:pt idx="7">
                  <c:v>1.6923076923076918</c:v>
                </c:pt>
                <c:pt idx="8">
                  <c:v>2.006688963210701</c:v>
                </c:pt>
                <c:pt idx="9">
                  <c:v>1.785953177257525</c:v>
                </c:pt>
              </c:numCache>
            </c:numRef>
          </c:val>
        </c:ser>
        <c:ser>
          <c:idx val="2"/>
          <c:order val="2"/>
          <c:tx>
            <c:strRef>
              <c:f>'Thomson Total Production'!$D$12</c:f>
              <c:strCache>
                <c:ptCount val="1"/>
                <c:pt idx="0">
                  <c:v>Armenia</c:v>
                </c:pt>
              </c:strCache>
            </c:strRef>
          </c:tx>
          <c:marker>
            <c:symbol val="none"/>
          </c:marker>
          <c:cat>
            <c:numRef>
              <c:f>'Thomson Total Production'!$A$13:$A$22</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'Thomson Total Production'!$D$13:$D$22</c:f>
              <c:numCache>
                <c:formatCode>0.00</c:formatCode>
                <c:ptCount val="10"/>
                <c:pt idx="0" formatCode="General">
                  <c:v>1</c:v>
                </c:pt>
                <c:pt idx="1">
                  <c:v>0.97752808988764017</c:v>
                </c:pt>
                <c:pt idx="2">
                  <c:v>1.0674157303370786</c:v>
                </c:pt>
                <c:pt idx="3">
                  <c:v>1.1292134831460678</c:v>
                </c:pt>
                <c:pt idx="4">
                  <c:v>1.4044943820224707</c:v>
                </c:pt>
                <c:pt idx="5">
                  <c:v>1.2996254681647939</c:v>
                </c:pt>
                <c:pt idx="6">
                  <c:v>1.5018726591760299</c:v>
                </c:pt>
                <c:pt idx="7">
                  <c:v>1.6217228464419475</c:v>
                </c:pt>
                <c:pt idx="8">
                  <c:v>1.9419475655430718</c:v>
                </c:pt>
                <c:pt idx="9">
                  <c:v>1.5917602996254674</c:v>
                </c:pt>
              </c:numCache>
            </c:numRef>
          </c:val>
        </c:ser>
        <c:ser>
          <c:idx val="3"/>
          <c:order val="3"/>
          <c:tx>
            <c:strRef>
              <c:f>'Thomson Total Production'!$E$12</c:f>
              <c:strCache>
                <c:ptCount val="1"/>
                <c:pt idx="0">
                  <c:v>Azeerbaijan</c:v>
                </c:pt>
              </c:strCache>
            </c:strRef>
          </c:tx>
          <c:marker>
            <c:symbol val="none"/>
          </c:marker>
          <c:cat>
            <c:numRef>
              <c:f>'Thomson Total Production'!$A$13:$A$22</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'Thomson Total Production'!$E$13:$E$22</c:f>
              <c:numCache>
                <c:formatCode>0.00</c:formatCode>
                <c:ptCount val="10"/>
                <c:pt idx="0" formatCode="General">
                  <c:v>1</c:v>
                </c:pt>
                <c:pt idx="1">
                  <c:v>1.1009174311926611</c:v>
                </c:pt>
                <c:pt idx="2">
                  <c:v>1.1238532110091737</c:v>
                </c:pt>
                <c:pt idx="3">
                  <c:v>1.1192660550458711</c:v>
                </c:pt>
                <c:pt idx="4">
                  <c:v>1.4633027522935778</c:v>
                </c:pt>
                <c:pt idx="5">
                  <c:v>1.8807339449541285</c:v>
                </c:pt>
                <c:pt idx="6">
                  <c:v>2.2752293577981653</c:v>
                </c:pt>
                <c:pt idx="7">
                  <c:v>2.6788990825688073</c:v>
                </c:pt>
                <c:pt idx="8">
                  <c:v>2.5825688073394497</c:v>
                </c:pt>
                <c:pt idx="9">
                  <c:v>2.1055045871559646</c:v>
                </c:pt>
              </c:numCache>
            </c:numRef>
          </c:val>
        </c:ser>
        <c:ser>
          <c:idx val="4"/>
          <c:order val="4"/>
          <c:tx>
            <c:strRef>
              <c:f>'Thomson Total Production'!$F$12</c:f>
              <c:strCache>
                <c:ptCount val="1"/>
                <c:pt idx="0">
                  <c:v>Belorus</c:v>
                </c:pt>
              </c:strCache>
            </c:strRef>
          </c:tx>
          <c:marker>
            <c:symbol val="none"/>
          </c:marker>
          <c:cat>
            <c:numRef>
              <c:f>'Thomson Total Production'!$A$13:$A$22</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'Thomson Total Production'!$F$13:$F$22</c:f>
              <c:numCache>
                <c:formatCode>0.00</c:formatCode>
                <c:ptCount val="10"/>
                <c:pt idx="0" formatCode="General">
                  <c:v>1</c:v>
                </c:pt>
                <c:pt idx="1">
                  <c:v>0.94230769230769251</c:v>
                </c:pt>
                <c:pt idx="2">
                  <c:v>1.0384615384615385</c:v>
                </c:pt>
                <c:pt idx="3">
                  <c:v>1.1282051282051286</c:v>
                </c:pt>
                <c:pt idx="4">
                  <c:v>1.2916666666666663</c:v>
                </c:pt>
                <c:pt idx="5">
                  <c:v>1.3782051282051286</c:v>
                </c:pt>
                <c:pt idx="6">
                  <c:v>1.4070512820512817</c:v>
                </c:pt>
                <c:pt idx="7">
                  <c:v>1.5705128205128209</c:v>
                </c:pt>
                <c:pt idx="8">
                  <c:v>1.7211538461538463</c:v>
                </c:pt>
                <c:pt idx="9">
                  <c:v>1.5576923076923073</c:v>
                </c:pt>
              </c:numCache>
            </c:numRef>
          </c:val>
        </c:ser>
        <c:ser>
          <c:idx val="5"/>
          <c:order val="5"/>
          <c:tx>
            <c:strRef>
              <c:f>'Thomson Total Production'!$G$12</c:f>
              <c:strCache>
                <c:ptCount val="1"/>
                <c:pt idx="0">
                  <c:v>Ukraine</c:v>
                </c:pt>
              </c:strCache>
            </c:strRef>
          </c:tx>
          <c:marker>
            <c:symbol val="none"/>
          </c:marker>
          <c:cat>
            <c:numRef>
              <c:f>'Thomson Total Production'!$A$13:$A$22</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'Thomson Total Production'!$G$13:$G$22</c:f>
              <c:numCache>
                <c:formatCode>0.00</c:formatCode>
                <c:ptCount val="10"/>
                <c:pt idx="0" formatCode="General">
                  <c:v>1</c:v>
                </c:pt>
                <c:pt idx="1">
                  <c:v>1.0326255825996888</c:v>
                </c:pt>
                <c:pt idx="2">
                  <c:v>1.0152770585189022</c:v>
                </c:pt>
                <c:pt idx="3">
                  <c:v>1.0771620921802174</c:v>
                </c:pt>
                <c:pt idx="4">
                  <c:v>1.2887105126877265</c:v>
                </c:pt>
                <c:pt idx="5">
                  <c:v>1.1895390989124799</c:v>
                </c:pt>
                <c:pt idx="6">
                  <c:v>1.1944588296219587</c:v>
                </c:pt>
                <c:pt idx="7">
                  <c:v>1.3619886069394096</c:v>
                </c:pt>
                <c:pt idx="8">
                  <c:v>1.3278094251683066</c:v>
                </c:pt>
                <c:pt idx="9">
                  <c:v>1.2265665458311756</c:v>
                </c:pt>
              </c:numCache>
            </c:numRef>
          </c:val>
        </c:ser>
        <c:ser>
          <c:idx val="6"/>
          <c:order val="6"/>
          <c:tx>
            <c:strRef>
              <c:f>'Thomson Total Production'!$H$12</c:f>
              <c:strCache>
                <c:ptCount val="1"/>
                <c:pt idx="0">
                  <c:v>Lithuania</c:v>
                </c:pt>
              </c:strCache>
            </c:strRef>
          </c:tx>
          <c:marker>
            <c:symbol val="none"/>
          </c:marker>
          <c:cat>
            <c:numRef>
              <c:f>'Thomson Total Production'!$A$13:$A$22</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'Thomson Total Production'!$H$13:$H$22</c:f>
              <c:numCache>
                <c:formatCode>0.00</c:formatCode>
                <c:ptCount val="10"/>
                <c:pt idx="0" formatCode="General">
                  <c:v>1</c:v>
                </c:pt>
                <c:pt idx="1">
                  <c:v>1.1229868228404101</c:v>
                </c:pt>
                <c:pt idx="2">
                  <c:v>1.3660322108345535</c:v>
                </c:pt>
                <c:pt idx="3">
                  <c:v>1.9677891654465602</c:v>
                </c:pt>
                <c:pt idx="4">
                  <c:v>2.3469985358711565</c:v>
                </c:pt>
                <c:pt idx="5">
                  <c:v>2.1976573938506587</c:v>
                </c:pt>
                <c:pt idx="6">
                  <c:v>2.0087847730600292</c:v>
                </c:pt>
                <c:pt idx="7">
                  <c:v>2.1420204978038067</c:v>
                </c:pt>
                <c:pt idx="8">
                  <c:v>2.0505124450951677</c:v>
                </c:pt>
                <c:pt idx="9">
                  <c:v>1.7459736456808195</c:v>
                </c:pt>
              </c:numCache>
            </c:numRef>
          </c:val>
        </c:ser>
        <c:ser>
          <c:idx val="7"/>
          <c:order val="7"/>
          <c:tx>
            <c:strRef>
              <c:f>'Thomson Total Production'!$I$12</c:f>
              <c:strCache>
                <c:ptCount val="1"/>
                <c:pt idx="0">
                  <c:v>Latvia</c:v>
                </c:pt>
              </c:strCache>
            </c:strRef>
          </c:tx>
          <c:marker>
            <c:symbol val="none"/>
          </c:marker>
          <c:cat>
            <c:numRef>
              <c:f>'Thomson Total Production'!$A$13:$A$22</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'Thomson Total Production'!$I$13:$I$22</c:f>
              <c:numCache>
                <c:formatCode>0.00</c:formatCode>
                <c:ptCount val="10"/>
                <c:pt idx="0" formatCode="General">
                  <c:v>1</c:v>
                </c:pt>
                <c:pt idx="1">
                  <c:v>0.94444444444444464</c:v>
                </c:pt>
                <c:pt idx="2">
                  <c:v>0.88888888888888884</c:v>
                </c:pt>
                <c:pt idx="3">
                  <c:v>1.0964912280701751</c:v>
                </c:pt>
                <c:pt idx="4">
                  <c:v>1.2807017543859645</c:v>
                </c:pt>
                <c:pt idx="5">
                  <c:v>1.236842105263158</c:v>
                </c:pt>
                <c:pt idx="6">
                  <c:v>1.1842105263157905</c:v>
                </c:pt>
                <c:pt idx="7">
                  <c:v>1.7192982456140342</c:v>
                </c:pt>
                <c:pt idx="8">
                  <c:v>1.6725146198830414</c:v>
                </c:pt>
                <c:pt idx="9">
                  <c:v>1.695906432748538</c:v>
                </c:pt>
              </c:numCache>
            </c:numRef>
          </c:val>
        </c:ser>
        <c:ser>
          <c:idx val="8"/>
          <c:order val="8"/>
          <c:tx>
            <c:strRef>
              <c:f>'Thomson Total Production'!$J$12</c:f>
              <c:strCache>
                <c:ptCount val="1"/>
                <c:pt idx="0">
                  <c:v>Estonia</c:v>
                </c:pt>
              </c:strCache>
            </c:strRef>
          </c:tx>
          <c:spPr>
            <a:ln>
              <a:solidFill>
                <a:srgbClr val="C00000"/>
              </a:solidFill>
            </a:ln>
          </c:spPr>
          <c:marker>
            <c:symbol val="none"/>
          </c:marker>
          <c:cat>
            <c:numRef>
              <c:f>'Thomson Total Production'!$A$13:$A$22</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'Thomson Total Production'!$J$13:$J$22</c:f>
              <c:numCache>
                <c:formatCode>0.00</c:formatCode>
                <c:ptCount val="10"/>
                <c:pt idx="0" formatCode="General">
                  <c:v>1</c:v>
                </c:pt>
                <c:pt idx="1">
                  <c:v>1.0861581920903955</c:v>
                </c:pt>
                <c:pt idx="2">
                  <c:v>1.1709039548022604</c:v>
                </c:pt>
                <c:pt idx="3">
                  <c:v>1.4180790960451972</c:v>
                </c:pt>
                <c:pt idx="4">
                  <c:v>1.4844632768361579</c:v>
                </c:pt>
                <c:pt idx="5">
                  <c:v>1.6624293785310735</c:v>
                </c:pt>
                <c:pt idx="6">
                  <c:v>1.9491525423728817</c:v>
                </c:pt>
                <c:pt idx="7">
                  <c:v>2.0536723163841799</c:v>
                </c:pt>
                <c:pt idx="8">
                  <c:v>2.1355932203389831</c:v>
                </c:pt>
                <c:pt idx="9">
                  <c:v>2.350282485875705</c:v>
                </c:pt>
              </c:numCache>
            </c:numRef>
          </c:val>
        </c:ser>
        <c:ser>
          <c:idx val="9"/>
          <c:order val="9"/>
          <c:tx>
            <c:strRef>
              <c:f>'Thomson Total Production'!$K$12</c:f>
              <c:strCache>
                <c:ptCount val="1"/>
                <c:pt idx="0">
                  <c:v>World</c:v>
                </c:pt>
              </c:strCache>
            </c:strRef>
          </c:tx>
          <c:spPr>
            <a:ln w="50800">
              <a:solidFill>
                <a:schemeClr val="tx1"/>
              </a:solidFill>
            </a:ln>
          </c:spPr>
          <c:marker>
            <c:symbol val="none"/>
          </c:marker>
          <c:cat>
            <c:numRef>
              <c:f>'Thomson Total Production'!$A$13:$A$22</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'Thomson Total Production'!$K$13:$K$22</c:f>
              <c:numCache>
                <c:formatCode>0.00</c:formatCode>
                <c:ptCount val="10"/>
                <c:pt idx="0" formatCode="General">
                  <c:v>1</c:v>
                </c:pt>
                <c:pt idx="1">
                  <c:v>1.0494536908353385</c:v>
                </c:pt>
                <c:pt idx="2">
                  <c:v>1.102501610114911</c:v>
                </c:pt>
                <c:pt idx="3">
                  <c:v>1.1565596646441363</c:v>
                </c:pt>
                <c:pt idx="4">
                  <c:v>1.236878975853926</c:v>
                </c:pt>
                <c:pt idx="5">
                  <c:v>1.2855247844705824</c:v>
                </c:pt>
                <c:pt idx="6">
                  <c:v>1.3384088674960175</c:v>
                </c:pt>
                <c:pt idx="7">
                  <c:v>1.4189812774708195</c:v>
                </c:pt>
                <c:pt idx="8">
                  <c:v>1.4759759556173238</c:v>
                </c:pt>
                <c:pt idx="9">
                  <c:v>1.5202976170299305</c:v>
                </c:pt>
              </c:numCache>
            </c:numRef>
          </c:val>
        </c:ser>
        <c:marker val="1"/>
        <c:axId val="48120192"/>
        <c:axId val="48121728"/>
      </c:lineChart>
      <c:catAx>
        <c:axId val="48120192"/>
        <c:scaling>
          <c:orientation val="minMax"/>
        </c:scaling>
        <c:axPos val="b"/>
        <c:numFmt formatCode="General" sourceLinked="1"/>
        <c:tickLblPos val="nextTo"/>
        <c:txPr>
          <a:bodyPr/>
          <a:lstStyle/>
          <a:p>
            <a:pPr>
              <a:defRPr sz="800"/>
            </a:pPr>
            <a:endParaRPr lang="en-US"/>
          </a:p>
        </c:txPr>
        <c:crossAx val="48121728"/>
        <c:crosses val="autoZero"/>
        <c:auto val="1"/>
        <c:lblAlgn val="ctr"/>
        <c:lblOffset val="100"/>
      </c:catAx>
      <c:valAx>
        <c:axId val="48121728"/>
        <c:scaling>
          <c:orientation val="minMax"/>
          <c:max val="3.5"/>
        </c:scaling>
        <c:axPos val="l"/>
        <c:majorGridlines/>
        <c:numFmt formatCode="General" sourceLinked="1"/>
        <c:tickLblPos val="nextTo"/>
        <c:crossAx val="48120192"/>
        <c:crosses val="autoZero"/>
        <c:crossBetween val="between"/>
      </c:valAx>
    </c:plotArea>
    <c:plotVisOnly val="1"/>
    <c:dispBlanksAs val="gap"/>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US"/>
  <c:style val="3"/>
  <c:chart>
    <c:autoTitleDeleted val="1"/>
    <c:plotArea>
      <c:layout/>
      <c:barChart>
        <c:barDir val="col"/>
        <c:grouping val="clustered"/>
        <c:ser>
          <c:idx val="0"/>
          <c:order val="0"/>
          <c:tx>
            <c:strRef>
              <c:f>'Total production'!$A$36</c:f>
              <c:strCache>
                <c:ptCount val="1"/>
                <c:pt idx="0">
                  <c:v>2004-2006</c:v>
                </c:pt>
              </c:strCache>
            </c:strRef>
          </c:tx>
          <c:cat>
            <c:strRef>
              <c:f>'Total production'!$B$35:$K$35</c:f>
              <c:strCache>
                <c:ptCount val="10"/>
                <c:pt idx="0">
                  <c:v>Russia</c:v>
                </c:pt>
                <c:pt idx="1">
                  <c:v>Georgia</c:v>
                </c:pt>
                <c:pt idx="2">
                  <c:v>Armenia</c:v>
                </c:pt>
                <c:pt idx="3">
                  <c:v>Azerbaijan</c:v>
                </c:pt>
                <c:pt idx="4">
                  <c:v>Belarus</c:v>
                </c:pt>
                <c:pt idx="5">
                  <c:v>Ukraine</c:v>
                </c:pt>
                <c:pt idx="6">
                  <c:v>Lithuania</c:v>
                </c:pt>
                <c:pt idx="7">
                  <c:v>Latvia</c:v>
                </c:pt>
                <c:pt idx="8">
                  <c:v>Esotnia</c:v>
                </c:pt>
                <c:pt idx="9">
                  <c:v>Kazakhstan</c:v>
                </c:pt>
              </c:strCache>
            </c:strRef>
          </c:cat>
          <c:val>
            <c:numRef>
              <c:f>'Total production'!$B$36:$K$36</c:f>
              <c:numCache>
                <c:formatCode>0.00</c:formatCode>
                <c:ptCount val="10"/>
                <c:pt idx="0">
                  <c:v>0.7467780097425194</c:v>
                </c:pt>
                <c:pt idx="1">
                  <c:v>0.3193719612828409</c:v>
                </c:pt>
                <c:pt idx="2">
                  <c:v>0.55179956253728402</c:v>
                </c:pt>
                <c:pt idx="3">
                  <c:v>0.12966942236241816</c:v>
                </c:pt>
                <c:pt idx="4">
                  <c:v>0.49219384151548057</c:v>
                </c:pt>
                <c:pt idx="5">
                  <c:v>0.44505153413668763</c:v>
                </c:pt>
                <c:pt idx="6">
                  <c:v>1.5404732842434938</c:v>
                </c:pt>
                <c:pt idx="7">
                  <c:v>0.69813862967213935</c:v>
                </c:pt>
                <c:pt idx="8">
                  <c:v>2.3538917728128559</c:v>
                </c:pt>
                <c:pt idx="9">
                  <c:v>5.7197719073664624E-2</c:v>
                </c:pt>
              </c:numCache>
            </c:numRef>
          </c:val>
        </c:ser>
        <c:ser>
          <c:idx val="1"/>
          <c:order val="1"/>
          <c:tx>
            <c:strRef>
              <c:f>'Total production'!$A$37</c:f>
              <c:strCache>
                <c:ptCount val="1"/>
                <c:pt idx="0">
                  <c:v>2007-2009</c:v>
                </c:pt>
              </c:strCache>
            </c:strRef>
          </c:tx>
          <c:cat>
            <c:strRef>
              <c:f>'Total production'!$B$35:$K$35</c:f>
              <c:strCache>
                <c:ptCount val="10"/>
                <c:pt idx="0">
                  <c:v>Russia</c:v>
                </c:pt>
                <c:pt idx="1">
                  <c:v>Georgia</c:v>
                </c:pt>
                <c:pt idx="2">
                  <c:v>Armenia</c:v>
                </c:pt>
                <c:pt idx="3">
                  <c:v>Azerbaijan</c:v>
                </c:pt>
                <c:pt idx="4">
                  <c:v>Belarus</c:v>
                </c:pt>
                <c:pt idx="5">
                  <c:v>Ukraine</c:v>
                </c:pt>
                <c:pt idx="6">
                  <c:v>Lithuania</c:v>
                </c:pt>
                <c:pt idx="7">
                  <c:v>Latvia</c:v>
                </c:pt>
                <c:pt idx="8">
                  <c:v>Esotnia</c:v>
                </c:pt>
                <c:pt idx="9">
                  <c:v>Kazakhstan</c:v>
                </c:pt>
              </c:strCache>
            </c:strRef>
          </c:cat>
          <c:val>
            <c:numRef>
              <c:f>'Total production'!$B$37:$K$37</c:f>
              <c:numCache>
                <c:formatCode>0.00</c:formatCode>
                <c:ptCount val="10"/>
                <c:pt idx="0">
                  <c:v>0.73713291579679863</c:v>
                </c:pt>
                <c:pt idx="1">
                  <c:v>0.35371782862750345</c:v>
                </c:pt>
                <c:pt idx="2">
                  <c:v>0.60217405713528238</c:v>
                </c:pt>
                <c:pt idx="3">
                  <c:v>0.19116977696859347</c:v>
                </c:pt>
                <c:pt idx="4">
                  <c:v>0.46973993527371627</c:v>
                </c:pt>
                <c:pt idx="5">
                  <c:v>0.44469931449251737</c:v>
                </c:pt>
                <c:pt idx="6">
                  <c:v>2.3977269521300992</c:v>
                </c:pt>
                <c:pt idx="7">
                  <c:v>1.0309895703378411</c:v>
                </c:pt>
                <c:pt idx="8">
                  <c:v>3.5102563516202063</c:v>
                </c:pt>
                <c:pt idx="9">
                  <c:v>6.2783661119515943E-2</c:v>
                </c:pt>
              </c:numCache>
            </c:numRef>
          </c:val>
        </c:ser>
        <c:ser>
          <c:idx val="2"/>
          <c:order val="2"/>
          <c:tx>
            <c:strRef>
              <c:f>'Total production'!$A$38</c:f>
              <c:strCache>
                <c:ptCount val="1"/>
                <c:pt idx="0">
                  <c:v>2010-2012</c:v>
                </c:pt>
              </c:strCache>
            </c:strRef>
          </c:tx>
          <c:dLbls>
            <c:showVal val="1"/>
          </c:dLbls>
          <c:cat>
            <c:strRef>
              <c:f>'Total production'!$B$35:$K$35</c:f>
              <c:strCache>
                <c:ptCount val="10"/>
                <c:pt idx="0">
                  <c:v>Russia</c:v>
                </c:pt>
                <c:pt idx="1">
                  <c:v>Georgia</c:v>
                </c:pt>
                <c:pt idx="2">
                  <c:v>Armenia</c:v>
                </c:pt>
                <c:pt idx="3">
                  <c:v>Azerbaijan</c:v>
                </c:pt>
                <c:pt idx="4">
                  <c:v>Belarus</c:v>
                </c:pt>
                <c:pt idx="5">
                  <c:v>Ukraine</c:v>
                </c:pt>
                <c:pt idx="6">
                  <c:v>Lithuania</c:v>
                </c:pt>
                <c:pt idx="7">
                  <c:v>Latvia</c:v>
                </c:pt>
                <c:pt idx="8">
                  <c:v>Esotnia</c:v>
                </c:pt>
                <c:pt idx="9">
                  <c:v>Kazakhstan</c:v>
                </c:pt>
              </c:strCache>
            </c:strRef>
          </c:cat>
          <c:val>
            <c:numRef>
              <c:f>'Total production'!$B$38:$K$38</c:f>
              <c:numCache>
                <c:formatCode>0.00</c:formatCode>
                <c:ptCount val="10"/>
                <c:pt idx="0">
                  <c:v>0.82384829505915125</c:v>
                </c:pt>
                <c:pt idx="1">
                  <c:v>0.4812881930505376</c:v>
                </c:pt>
                <c:pt idx="2">
                  <c:v>0.91303771458871874</c:v>
                </c:pt>
                <c:pt idx="3">
                  <c:v>0.27257041843528701</c:v>
                </c:pt>
                <c:pt idx="4">
                  <c:v>0.51064188654979437</c:v>
                </c:pt>
                <c:pt idx="5">
                  <c:v>0.51967807124522869</c:v>
                </c:pt>
                <c:pt idx="6">
                  <c:v>2.758711644951501</c:v>
                </c:pt>
                <c:pt idx="7">
                  <c:v>1.6961924247716962</c:v>
                </c:pt>
                <c:pt idx="8">
                  <c:v>4.8251732260056235</c:v>
                </c:pt>
                <c:pt idx="9">
                  <c:v>9.7113929942976837E-2</c:v>
                </c:pt>
              </c:numCache>
            </c:numRef>
          </c:val>
        </c:ser>
        <c:gapWidth val="75"/>
        <c:overlap val="-25"/>
        <c:axId val="68487424"/>
        <c:axId val="125009920"/>
      </c:barChart>
      <c:catAx>
        <c:axId val="68487424"/>
        <c:scaling>
          <c:orientation val="minMax"/>
        </c:scaling>
        <c:axPos val="b"/>
        <c:majorTickMark val="none"/>
        <c:tickLblPos val="nextTo"/>
        <c:crossAx val="125009920"/>
        <c:crosses val="autoZero"/>
        <c:auto val="1"/>
        <c:lblAlgn val="ctr"/>
        <c:lblOffset val="100"/>
      </c:catAx>
      <c:valAx>
        <c:axId val="125009920"/>
        <c:scaling>
          <c:orientation val="minMax"/>
          <c:max val="5"/>
        </c:scaling>
        <c:axPos val="l"/>
        <c:majorGridlines/>
        <c:numFmt formatCode="0.00" sourceLinked="1"/>
        <c:majorTickMark val="none"/>
        <c:tickLblPos val="nextTo"/>
        <c:spPr>
          <a:ln w="9525">
            <a:noFill/>
          </a:ln>
        </c:spPr>
        <c:crossAx val="68487424"/>
        <c:crosses val="autoZero"/>
        <c:crossBetween val="between"/>
      </c:valAx>
    </c:plotArea>
    <c:legend>
      <c:legendPos val="b"/>
    </c:legend>
    <c:plotVisOnly val="1"/>
    <c:dispBlanksAs val="gap"/>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US"/>
  <c:style val="12"/>
  <c:chart>
    <c:autoTitleDeleted val="1"/>
    <c:plotArea>
      <c:layout/>
      <c:barChart>
        <c:barDir val="col"/>
        <c:grouping val="clustered"/>
        <c:ser>
          <c:idx val="0"/>
          <c:order val="0"/>
          <c:tx>
            <c:strRef>
              <c:f>Countries!$B$67</c:f>
              <c:strCache>
                <c:ptCount val="1"/>
                <c:pt idx="0">
                  <c:v>2004-2006</c:v>
                </c:pt>
              </c:strCache>
            </c:strRef>
          </c:tx>
          <c:cat>
            <c:strRef>
              <c:f>Countries!$C$66:$L$66</c:f>
              <c:strCache>
                <c:ptCount val="10"/>
                <c:pt idx="0">
                  <c:v>Russia</c:v>
                </c:pt>
                <c:pt idx="1">
                  <c:v>Georgia</c:v>
                </c:pt>
                <c:pt idx="2">
                  <c:v>Armenia</c:v>
                </c:pt>
                <c:pt idx="3">
                  <c:v>Azerbaijan</c:v>
                </c:pt>
                <c:pt idx="4">
                  <c:v>Belarus</c:v>
                </c:pt>
                <c:pt idx="5">
                  <c:v>Ukraine</c:v>
                </c:pt>
                <c:pt idx="6">
                  <c:v>Lithuania</c:v>
                </c:pt>
                <c:pt idx="7">
                  <c:v>Latvia</c:v>
                </c:pt>
                <c:pt idx="8">
                  <c:v>Esotnia</c:v>
                </c:pt>
                <c:pt idx="9">
                  <c:v>Kazakhstan</c:v>
                </c:pt>
              </c:strCache>
            </c:strRef>
          </c:cat>
          <c:val>
            <c:numRef>
              <c:f>Countries!$C$67:$L$67</c:f>
              <c:numCache>
                <c:formatCode>0.00</c:formatCode>
                <c:ptCount val="10"/>
                <c:pt idx="0">
                  <c:v>0.50711203897007651</c:v>
                </c:pt>
                <c:pt idx="1">
                  <c:v>0.21499620857308543</c:v>
                </c:pt>
                <c:pt idx="2">
                  <c:v>0.53887452773911315</c:v>
                </c:pt>
                <c:pt idx="3">
                  <c:v>7.4414370547575479E-2</c:v>
                </c:pt>
                <c:pt idx="4">
                  <c:v>9.8038182182351113E-5</c:v>
                </c:pt>
                <c:pt idx="5">
                  <c:v>0.25912358947039371</c:v>
                </c:pt>
                <c:pt idx="6">
                  <c:v>1.6200122843566847</c:v>
                </c:pt>
                <c:pt idx="7">
                  <c:v>0.48355706372573481</c:v>
                </c:pt>
                <c:pt idx="8">
                  <c:v>1.7577961230914645</c:v>
                </c:pt>
                <c:pt idx="9">
                  <c:v>4.8586058419643904E-2</c:v>
                </c:pt>
              </c:numCache>
            </c:numRef>
          </c:val>
        </c:ser>
        <c:ser>
          <c:idx val="1"/>
          <c:order val="1"/>
          <c:tx>
            <c:strRef>
              <c:f>Countries!$B$68</c:f>
              <c:strCache>
                <c:ptCount val="1"/>
                <c:pt idx="0">
                  <c:v>2007-2009</c:v>
                </c:pt>
              </c:strCache>
            </c:strRef>
          </c:tx>
          <c:cat>
            <c:strRef>
              <c:f>Countries!$C$66:$L$66</c:f>
              <c:strCache>
                <c:ptCount val="10"/>
                <c:pt idx="0">
                  <c:v>Russia</c:v>
                </c:pt>
                <c:pt idx="1">
                  <c:v>Georgia</c:v>
                </c:pt>
                <c:pt idx="2">
                  <c:v>Armenia</c:v>
                </c:pt>
                <c:pt idx="3">
                  <c:v>Azerbaijan</c:v>
                </c:pt>
                <c:pt idx="4">
                  <c:v>Belarus</c:v>
                </c:pt>
                <c:pt idx="5">
                  <c:v>Ukraine</c:v>
                </c:pt>
                <c:pt idx="6">
                  <c:v>Lithuania</c:v>
                </c:pt>
                <c:pt idx="7">
                  <c:v>Latvia</c:v>
                </c:pt>
                <c:pt idx="8">
                  <c:v>Esotnia</c:v>
                </c:pt>
                <c:pt idx="9">
                  <c:v>Kazakhstan</c:v>
                </c:pt>
              </c:strCache>
            </c:strRef>
          </c:cat>
          <c:val>
            <c:numRef>
              <c:f>Countries!$C$68:$L$68</c:f>
              <c:numCache>
                <c:formatCode>0.00</c:formatCode>
                <c:ptCount val="10"/>
                <c:pt idx="0">
                  <c:v>0.55382741823242865</c:v>
                </c:pt>
                <c:pt idx="1">
                  <c:v>0.22949284089388472</c:v>
                </c:pt>
                <c:pt idx="2">
                  <c:v>0.67839862132962181</c:v>
                </c:pt>
                <c:pt idx="3">
                  <c:v>0.10299456976214925</c:v>
                </c:pt>
                <c:pt idx="4">
                  <c:v>1.2491961923235048E-4</c:v>
                </c:pt>
                <c:pt idx="5">
                  <c:v>0.30227049588123167</c:v>
                </c:pt>
                <c:pt idx="6">
                  <c:v>3.0238416453287997</c:v>
                </c:pt>
                <c:pt idx="7">
                  <c:v>0.6167972453715258</c:v>
                </c:pt>
                <c:pt idx="8">
                  <c:v>2.4636587466745952</c:v>
                </c:pt>
                <c:pt idx="9">
                  <c:v>5.8186896310950774E-2</c:v>
                </c:pt>
              </c:numCache>
            </c:numRef>
          </c:val>
        </c:ser>
        <c:ser>
          <c:idx val="2"/>
          <c:order val="2"/>
          <c:tx>
            <c:strRef>
              <c:f>Countries!$B$69</c:f>
              <c:strCache>
                <c:ptCount val="1"/>
                <c:pt idx="0">
                  <c:v>2010-2012</c:v>
                </c:pt>
              </c:strCache>
            </c:strRef>
          </c:tx>
          <c:dLbls>
            <c:showVal val="1"/>
          </c:dLbls>
          <c:cat>
            <c:strRef>
              <c:f>Countries!$C$66:$L$66</c:f>
              <c:strCache>
                <c:ptCount val="10"/>
                <c:pt idx="0">
                  <c:v>Russia</c:v>
                </c:pt>
                <c:pt idx="1">
                  <c:v>Georgia</c:v>
                </c:pt>
                <c:pt idx="2">
                  <c:v>Armenia</c:v>
                </c:pt>
                <c:pt idx="3">
                  <c:v>Azerbaijan</c:v>
                </c:pt>
                <c:pt idx="4">
                  <c:v>Belarus</c:v>
                </c:pt>
                <c:pt idx="5">
                  <c:v>Ukraine</c:v>
                </c:pt>
                <c:pt idx="6">
                  <c:v>Lithuania</c:v>
                </c:pt>
                <c:pt idx="7">
                  <c:v>Latvia</c:v>
                </c:pt>
                <c:pt idx="8">
                  <c:v>Esotnia</c:v>
                </c:pt>
                <c:pt idx="9">
                  <c:v>Kazakhstan</c:v>
                </c:pt>
              </c:strCache>
            </c:strRef>
          </c:cat>
          <c:val>
            <c:numRef>
              <c:f>Countries!$C$69:$L$69</c:f>
              <c:numCache>
                <c:formatCode>0.00</c:formatCode>
                <c:ptCount val="10"/>
                <c:pt idx="0">
                  <c:v>0.57553931802366043</c:v>
                </c:pt>
                <c:pt idx="1">
                  <c:v>0.33297649315312927</c:v>
                </c:pt>
                <c:pt idx="2">
                  <c:v>0.89646715715516656</c:v>
                </c:pt>
                <c:pt idx="3">
                  <c:v>0.17391580485016581</c:v>
                </c:pt>
                <c:pt idx="4">
                  <c:v>1.5454190868744797E-4</c:v>
                </c:pt>
                <c:pt idx="5">
                  <c:v>0.33022793013723367</c:v>
                </c:pt>
                <c:pt idx="6">
                  <c:v>2.8793797861488599</c:v>
                </c:pt>
                <c:pt idx="7">
                  <c:v>0.78097709466540266</c:v>
                </c:pt>
                <c:pt idx="8">
                  <c:v>3.3128282527994388</c:v>
                </c:pt>
                <c:pt idx="9">
                  <c:v>8.1985336902129641E-2</c:v>
                </c:pt>
              </c:numCache>
            </c:numRef>
          </c:val>
        </c:ser>
        <c:gapWidth val="75"/>
        <c:overlap val="-25"/>
        <c:axId val="170342272"/>
        <c:axId val="170343808"/>
      </c:barChart>
      <c:catAx>
        <c:axId val="170342272"/>
        <c:scaling>
          <c:orientation val="minMax"/>
        </c:scaling>
        <c:axPos val="b"/>
        <c:majorTickMark val="none"/>
        <c:tickLblPos val="nextTo"/>
        <c:crossAx val="170343808"/>
        <c:crosses val="autoZero"/>
        <c:auto val="1"/>
        <c:lblAlgn val="ctr"/>
        <c:lblOffset val="100"/>
      </c:catAx>
      <c:valAx>
        <c:axId val="170343808"/>
        <c:scaling>
          <c:orientation val="minMax"/>
        </c:scaling>
        <c:axPos val="l"/>
        <c:majorGridlines/>
        <c:numFmt formatCode="0.00" sourceLinked="1"/>
        <c:majorTickMark val="none"/>
        <c:tickLblPos val="nextTo"/>
        <c:crossAx val="170342272"/>
        <c:crosses val="autoZero"/>
        <c:crossBetween val="between"/>
      </c:valAx>
    </c:plotArea>
    <c:legend>
      <c:legendPos val="b"/>
    </c:legend>
    <c:plotVisOnly val="1"/>
    <c:dispBlanksAs val="gap"/>
  </c:chart>
  <c:spPr>
    <a:ln>
      <a:noFill/>
    </a:ln>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US"/>
  <c:chart>
    <c:plotArea>
      <c:layout/>
      <c:lineChart>
        <c:grouping val="standard"/>
        <c:ser>
          <c:idx val="0"/>
          <c:order val="0"/>
          <c:tx>
            <c:strRef>
              <c:f>Countries!$C$85</c:f>
              <c:strCache>
                <c:ptCount val="1"/>
                <c:pt idx="0">
                  <c:v>GERD average 2008-2011</c:v>
                </c:pt>
              </c:strCache>
            </c:strRef>
          </c:tx>
          <c:spPr>
            <a:ln>
              <a:noFill/>
            </a:ln>
          </c:spPr>
          <c:cat>
            <c:strRef>
              <c:f>Countries!$D$84:$M$84</c:f>
              <c:strCache>
                <c:ptCount val="10"/>
                <c:pt idx="0">
                  <c:v>Kazakhstan</c:v>
                </c:pt>
                <c:pt idx="1">
                  <c:v>Azerbaijan</c:v>
                </c:pt>
                <c:pt idx="2">
                  <c:v>Armenia</c:v>
                </c:pt>
                <c:pt idx="3">
                  <c:v>Georgia</c:v>
                </c:pt>
                <c:pt idx="4">
                  <c:v>Latvia</c:v>
                </c:pt>
                <c:pt idx="5">
                  <c:v>Belarus</c:v>
                </c:pt>
                <c:pt idx="6">
                  <c:v>Ukraine</c:v>
                </c:pt>
                <c:pt idx="7">
                  <c:v>Lithuania</c:v>
                </c:pt>
                <c:pt idx="8">
                  <c:v>Russian Federation</c:v>
                </c:pt>
                <c:pt idx="9">
                  <c:v>Estonia</c:v>
                </c:pt>
              </c:strCache>
            </c:strRef>
          </c:cat>
          <c:val>
            <c:numRef>
              <c:f>Countries!$D$85:$M$85</c:f>
              <c:numCache>
                <c:formatCode>0.00</c:formatCode>
                <c:ptCount val="10"/>
                <c:pt idx="0">
                  <c:v>0.18910500000000005</c:v>
                </c:pt>
                <c:pt idx="1">
                  <c:v>0.21327499999999999</c:v>
                </c:pt>
                <c:pt idx="2">
                  <c:v>0.25530000000000008</c:v>
                </c:pt>
                <c:pt idx="3">
                  <c:v>0.21000000000000005</c:v>
                </c:pt>
                <c:pt idx="4">
                  <c:v>0.5947524999999998</c:v>
                </c:pt>
                <c:pt idx="5">
                  <c:v>0.70917249999999998</c:v>
                </c:pt>
                <c:pt idx="6">
                  <c:v>0.81558749999999969</c:v>
                </c:pt>
                <c:pt idx="7">
                  <c:v>0.84045750000000008</c:v>
                </c:pt>
                <c:pt idx="8">
                  <c:v>1.1432924999999998</c:v>
                </c:pt>
                <c:pt idx="9">
                  <c:v>1.6793225000000001</c:v>
                </c:pt>
              </c:numCache>
            </c:numRef>
          </c:val>
        </c:ser>
        <c:ser>
          <c:idx val="1"/>
          <c:order val="1"/>
          <c:tx>
            <c:strRef>
              <c:f>Countries!$C$86</c:f>
              <c:strCache>
                <c:ptCount val="1"/>
                <c:pt idx="0">
                  <c:v>Production per capita (2008-2012) - WoS</c:v>
                </c:pt>
              </c:strCache>
            </c:strRef>
          </c:tx>
          <c:spPr>
            <a:ln>
              <a:noFill/>
            </a:ln>
          </c:spPr>
          <c:cat>
            <c:strRef>
              <c:f>Countries!$D$84:$M$84</c:f>
              <c:strCache>
                <c:ptCount val="10"/>
                <c:pt idx="0">
                  <c:v>Kazakhstan</c:v>
                </c:pt>
                <c:pt idx="1">
                  <c:v>Azerbaijan</c:v>
                </c:pt>
                <c:pt idx="2">
                  <c:v>Armenia</c:v>
                </c:pt>
                <c:pt idx="3">
                  <c:v>Georgia</c:v>
                </c:pt>
                <c:pt idx="4">
                  <c:v>Latvia</c:v>
                </c:pt>
                <c:pt idx="5">
                  <c:v>Belarus</c:v>
                </c:pt>
                <c:pt idx="6">
                  <c:v>Ukraine</c:v>
                </c:pt>
                <c:pt idx="7">
                  <c:v>Lithuania</c:v>
                </c:pt>
                <c:pt idx="8">
                  <c:v>Russian Federation</c:v>
                </c:pt>
                <c:pt idx="9">
                  <c:v>Estonia</c:v>
                </c:pt>
              </c:strCache>
            </c:strRef>
          </c:cat>
          <c:val>
            <c:numRef>
              <c:f>Countries!$D$86:$M$86</c:f>
              <c:numCache>
                <c:formatCode>0.00</c:formatCode>
                <c:ptCount val="10"/>
                <c:pt idx="0">
                  <c:v>0.12184336087513092</c:v>
                </c:pt>
                <c:pt idx="1">
                  <c:v>0.25108234272951485</c:v>
                </c:pt>
                <c:pt idx="2">
                  <c:v>1.37502485583615</c:v>
                </c:pt>
                <c:pt idx="3">
                  <c:v>0.48998617244301718</c:v>
                </c:pt>
                <c:pt idx="4">
                  <c:v>1.2106392534557608</c:v>
                </c:pt>
                <c:pt idx="5">
                  <c:v>0.24235460305077955</c:v>
                </c:pt>
                <c:pt idx="6">
                  <c:v>0.54092131853423819</c:v>
                </c:pt>
                <c:pt idx="7">
                  <c:v>4.9895426609466584</c:v>
                </c:pt>
                <c:pt idx="8">
                  <c:v>0.95477383437717511</c:v>
                </c:pt>
                <c:pt idx="9">
                  <c:v>5.0111672650491297</c:v>
                </c:pt>
              </c:numCache>
            </c:numRef>
          </c:val>
        </c:ser>
        <c:ser>
          <c:idx val="2"/>
          <c:order val="2"/>
          <c:tx>
            <c:strRef>
              <c:f>Countries!$C$87</c:f>
              <c:strCache>
                <c:ptCount val="1"/>
                <c:pt idx="0">
                  <c:v>Production per capita (2008-2012) - Scopus</c:v>
                </c:pt>
              </c:strCache>
            </c:strRef>
          </c:tx>
          <c:spPr>
            <a:ln>
              <a:noFill/>
            </a:ln>
          </c:spPr>
          <c:cat>
            <c:strRef>
              <c:f>Countries!$D$84:$M$84</c:f>
              <c:strCache>
                <c:ptCount val="10"/>
                <c:pt idx="0">
                  <c:v>Kazakhstan</c:v>
                </c:pt>
                <c:pt idx="1">
                  <c:v>Azerbaijan</c:v>
                </c:pt>
                <c:pt idx="2">
                  <c:v>Armenia</c:v>
                </c:pt>
                <c:pt idx="3">
                  <c:v>Georgia</c:v>
                </c:pt>
                <c:pt idx="4">
                  <c:v>Latvia</c:v>
                </c:pt>
                <c:pt idx="5">
                  <c:v>Belarus</c:v>
                </c:pt>
                <c:pt idx="6">
                  <c:v>Ukraine</c:v>
                </c:pt>
                <c:pt idx="7">
                  <c:v>Lithuania</c:v>
                </c:pt>
                <c:pt idx="8">
                  <c:v>Russian Federation</c:v>
                </c:pt>
                <c:pt idx="9">
                  <c:v>Estonia</c:v>
                </c:pt>
              </c:strCache>
            </c:strRef>
          </c:cat>
          <c:val>
            <c:numRef>
              <c:f>Countries!$D$87:$M$87</c:f>
              <c:numCache>
                <c:formatCode>0.00</c:formatCode>
                <c:ptCount val="10"/>
                <c:pt idx="0">
                  <c:v>0.14052135459094617</c:v>
                </c:pt>
                <c:pt idx="1">
                  <c:v>0.41091975315176088</c:v>
                </c:pt>
                <c:pt idx="2">
                  <c:v>1.3229933054947964</c:v>
                </c:pt>
                <c:pt idx="3">
                  <c:v>0.73509077122083966</c:v>
                </c:pt>
                <c:pt idx="4">
                  <c:v>2.4497230400718601</c:v>
                </c:pt>
                <c:pt idx="5">
                  <c:v>0.81571984271723863</c:v>
                </c:pt>
                <c:pt idx="6">
                  <c:v>0.82069378464410425</c:v>
                </c:pt>
                <c:pt idx="7">
                  <c:v>4.5412010321035066</c:v>
                </c:pt>
                <c:pt idx="8">
                  <c:v>1.3228531663187204</c:v>
                </c:pt>
                <c:pt idx="9">
                  <c:v>7.2720620183402334</c:v>
                </c:pt>
              </c:numCache>
            </c:numRef>
          </c:val>
        </c:ser>
        <c:marker val="1"/>
        <c:axId val="170374656"/>
        <c:axId val="170376192"/>
      </c:lineChart>
      <c:catAx>
        <c:axId val="170374656"/>
        <c:scaling>
          <c:orientation val="minMax"/>
        </c:scaling>
        <c:axPos val="b"/>
        <c:tickLblPos val="nextTo"/>
        <c:crossAx val="170376192"/>
        <c:crosses val="autoZero"/>
        <c:auto val="1"/>
        <c:lblAlgn val="ctr"/>
        <c:lblOffset val="100"/>
      </c:catAx>
      <c:valAx>
        <c:axId val="170376192"/>
        <c:scaling>
          <c:orientation val="minMax"/>
        </c:scaling>
        <c:axPos val="l"/>
        <c:numFmt formatCode="0.00" sourceLinked="1"/>
        <c:tickLblPos val="nextTo"/>
        <c:crossAx val="170374656"/>
        <c:crosses val="autoZero"/>
        <c:crossBetween val="between"/>
      </c:valAx>
    </c:plotArea>
    <c:legend>
      <c:legendPos val="r"/>
    </c:legend>
    <c:plotVisOnly val="1"/>
    <c:dispBlanksAs val="gap"/>
  </c:chart>
  <c:spPr>
    <a:ln>
      <a:noFill/>
    </a:ln>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lineChart>
        <c:grouping val="standard"/>
        <c:ser>
          <c:idx val="0"/>
          <c:order val="0"/>
          <c:tx>
            <c:strRef>
              <c:f>'Production by fields GEO'!$B$3</c:f>
              <c:strCache>
                <c:ptCount val="1"/>
                <c:pt idx="0">
                  <c:v>HUM</c:v>
                </c:pt>
              </c:strCache>
            </c:strRef>
          </c:tx>
          <c:marker>
            <c:symbol val="none"/>
          </c:marker>
          <c:cat>
            <c:strRef>
              <c:f>'Production by fields GEO'!$A$4:$A$20</c:f>
              <c:strCache>
                <c:ptCount val="17"/>
                <c:pt idx="0">
                  <c:v>1996.</c:v>
                </c:pt>
                <c:pt idx="1">
                  <c:v>1997.</c:v>
                </c:pt>
                <c:pt idx="2">
                  <c:v>1998.</c:v>
                </c:pt>
                <c:pt idx="3">
                  <c:v>1999.</c:v>
                </c:pt>
                <c:pt idx="4">
                  <c:v>2000.</c:v>
                </c:pt>
                <c:pt idx="5">
                  <c:v>2001.</c:v>
                </c:pt>
                <c:pt idx="6">
                  <c:v>2002.</c:v>
                </c:pt>
                <c:pt idx="7">
                  <c:v>2003.</c:v>
                </c:pt>
                <c:pt idx="8">
                  <c:v>2004.</c:v>
                </c:pt>
                <c:pt idx="9">
                  <c:v>2005.</c:v>
                </c:pt>
                <c:pt idx="10">
                  <c:v>2006.</c:v>
                </c:pt>
                <c:pt idx="11">
                  <c:v>2007.</c:v>
                </c:pt>
                <c:pt idx="12">
                  <c:v>2008.</c:v>
                </c:pt>
                <c:pt idx="13">
                  <c:v>2009.</c:v>
                </c:pt>
                <c:pt idx="14">
                  <c:v>2010.</c:v>
                </c:pt>
                <c:pt idx="15">
                  <c:v>2011.</c:v>
                </c:pt>
                <c:pt idx="16">
                  <c:v>2012.</c:v>
                </c:pt>
              </c:strCache>
            </c:strRef>
          </c:cat>
          <c:val>
            <c:numRef>
              <c:f>'Production by fields GEO'!$B$4:$B$20</c:f>
              <c:numCache>
                <c:formatCode>General</c:formatCode>
                <c:ptCount val="17"/>
                <c:pt idx="0">
                  <c:v>2</c:v>
                </c:pt>
                <c:pt idx="2">
                  <c:v>1</c:v>
                </c:pt>
                <c:pt idx="3">
                  <c:v>2</c:v>
                </c:pt>
                <c:pt idx="4">
                  <c:v>2</c:v>
                </c:pt>
                <c:pt idx="5">
                  <c:v>1</c:v>
                </c:pt>
                <c:pt idx="6">
                  <c:v>6</c:v>
                </c:pt>
                <c:pt idx="7">
                  <c:v>7</c:v>
                </c:pt>
                <c:pt idx="8">
                  <c:v>3</c:v>
                </c:pt>
                <c:pt idx="9">
                  <c:v>1</c:v>
                </c:pt>
                <c:pt idx="10">
                  <c:v>2</c:v>
                </c:pt>
                <c:pt idx="11">
                  <c:v>1</c:v>
                </c:pt>
                <c:pt idx="12">
                  <c:v>5</c:v>
                </c:pt>
                <c:pt idx="13">
                  <c:v>6</c:v>
                </c:pt>
                <c:pt idx="14">
                  <c:v>9</c:v>
                </c:pt>
                <c:pt idx="15">
                  <c:v>10</c:v>
                </c:pt>
                <c:pt idx="16">
                  <c:v>7</c:v>
                </c:pt>
              </c:numCache>
            </c:numRef>
          </c:val>
        </c:ser>
        <c:ser>
          <c:idx val="1"/>
          <c:order val="1"/>
          <c:tx>
            <c:strRef>
              <c:f>'Production by fields GEO'!$C$3</c:f>
              <c:strCache>
                <c:ptCount val="1"/>
                <c:pt idx="0">
                  <c:v>ENG</c:v>
                </c:pt>
              </c:strCache>
            </c:strRef>
          </c:tx>
          <c:marker>
            <c:symbol val="none"/>
          </c:marker>
          <c:cat>
            <c:strRef>
              <c:f>'Production by fields GEO'!$A$4:$A$20</c:f>
              <c:strCache>
                <c:ptCount val="17"/>
                <c:pt idx="0">
                  <c:v>1996.</c:v>
                </c:pt>
                <c:pt idx="1">
                  <c:v>1997.</c:v>
                </c:pt>
                <c:pt idx="2">
                  <c:v>1998.</c:v>
                </c:pt>
                <c:pt idx="3">
                  <c:v>1999.</c:v>
                </c:pt>
                <c:pt idx="4">
                  <c:v>2000.</c:v>
                </c:pt>
                <c:pt idx="5">
                  <c:v>2001.</c:v>
                </c:pt>
                <c:pt idx="6">
                  <c:v>2002.</c:v>
                </c:pt>
                <c:pt idx="7">
                  <c:v>2003.</c:v>
                </c:pt>
                <c:pt idx="8">
                  <c:v>2004.</c:v>
                </c:pt>
                <c:pt idx="9">
                  <c:v>2005.</c:v>
                </c:pt>
                <c:pt idx="10">
                  <c:v>2006.</c:v>
                </c:pt>
                <c:pt idx="11">
                  <c:v>2007.</c:v>
                </c:pt>
                <c:pt idx="12">
                  <c:v>2008.</c:v>
                </c:pt>
                <c:pt idx="13">
                  <c:v>2009.</c:v>
                </c:pt>
                <c:pt idx="14">
                  <c:v>2010.</c:v>
                </c:pt>
                <c:pt idx="15">
                  <c:v>2011.</c:v>
                </c:pt>
                <c:pt idx="16">
                  <c:v>2012.</c:v>
                </c:pt>
              </c:strCache>
            </c:strRef>
          </c:cat>
          <c:val>
            <c:numRef>
              <c:f>'Production by fields GEO'!$C$4:$C$20</c:f>
              <c:numCache>
                <c:formatCode>General</c:formatCode>
                <c:ptCount val="17"/>
                <c:pt idx="0">
                  <c:v>48</c:v>
                </c:pt>
                <c:pt idx="1">
                  <c:v>40</c:v>
                </c:pt>
                <c:pt idx="2">
                  <c:v>53</c:v>
                </c:pt>
                <c:pt idx="3">
                  <c:v>64</c:v>
                </c:pt>
                <c:pt idx="4">
                  <c:v>42</c:v>
                </c:pt>
                <c:pt idx="5">
                  <c:v>55</c:v>
                </c:pt>
                <c:pt idx="6">
                  <c:v>65</c:v>
                </c:pt>
                <c:pt idx="7">
                  <c:v>67</c:v>
                </c:pt>
                <c:pt idx="8">
                  <c:v>88</c:v>
                </c:pt>
                <c:pt idx="9">
                  <c:v>74</c:v>
                </c:pt>
                <c:pt idx="10">
                  <c:v>87</c:v>
                </c:pt>
                <c:pt idx="11">
                  <c:v>75</c:v>
                </c:pt>
                <c:pt idx="12">
                  <c:v>74</c:v>
                </c:pt>
                <c:pt idx="13">
                  <c:v>81</c:v>
                </c:pt>
                <c:pt idx="14">
                  <c:v>68</c:v>
                </c:pt>
                <c:pt idx="15">
                  <c:v>90</c:v>
                </c:pt>
                <c:pt idx="16">
                  <c:v>68</c:v>
                </c:pt>
              </c:numCache>
            </c:numRef>
          </c:val>
        </c:ser>
        <c:ser>
          <c:idx val="2"/>
          <c:order val="2"/>
          <c:tx>
            <c:strRef>
              <c:f>'Production by fields GEO'!$D$3</c:f>
              <c:strCache>
                <c:ptCount val="1"/>
                <c:pt idx="0">
                  <c:v>MED</c:v>
                </c:pt>
              </c:strCache>
            </c:strRef>
          </c:tx>
          <c:marker>
            <c:symbol val="none"/>
          </c:marker>
          <c:cat>
            <c:strRef>
              <c:f>'Production by fields GEO'!$A$4:$A$20</c:f>
              <c:strCache>
                <c:ptCount val="17"/>
                <c:pt idx="0">
                  <c:v>1996.</c:v>
                </c:pt>
                <c:pt idx="1">
                  <c:v>1997.</c:v>
                </c:pt>
                <c:pt idx="2">
                  <c:v>1998.</c:v>
                </c:pt>
                <c:pt idx="3">
                  <c:v>1999.</c:v>
                </c:pt>
                <c:pt idx="4">
                  <c:v>2000.</c:v>
                </c:pt>
                <c:pt idx="5">
                  <c:v>2001.</c:v>
                </c:pt>
                <c:pt idx="6">
                  <c:v>2002.</c:v>
                </c:pt>
                <c:pt idx="7">
                  <c:v>2003.</c:v>
                </c:pt>
                <c:pt idx="8">
                  <c:v>2004.</c:v>
                </c:pt>
                <c:pt idx="9">
                  <c:v>2005.</c:v>
                </c:pt>
                <c:pt idx="10">
                  <c:v>2006.</c:v>
                </c:pt>
                <c:pt idx="11">
                  <c:v>2007.</c:v>
                </c:pt>
                <c:pt idx="12">
                  <c:v>2008.</c:v>
                </c:pt>
                <c:pt idx="13">
                  <c:v>2009.</c:v>
                </c:pt>
                <c:pt idx="14">
                  <c:v>2010.</c:v>
                </c:pt>
                <c:pt idx="15">
                  <c:v>2011.</c:v>
                </c:pt>
                <c:pt idx="16">
                  <c:v>2012.</c:v>
                </c:pt>
              </c:strCache>
            </c:strRef>
          </c:cat>
          <c:val>
            <c:numRef>
              <c:f>'Production by fields GEO'!$D$4:$D$20</c:f>
              <c:numCache>
                <c:formatCode>General</c:formatCode>
                <c:ptCount val="17"/>
                <c:pt idx="0">
                  <c:v>24</c:v>
                </c:pt>
                <c:pt idx="1">
                  <c:v>56</c:v>
                </c:pt>
                <c:pt idx="2">
                  <c:v>34</c:v>
                </c:pt>
                <c:pt idx="3">
                  <c:v>37</c:v>
                </c:pt>
                <c:pt idx="4">
                  <c:v>48</c:v>
                </c:pt>
                <c:pt idx="5">
                  <c:v>44</c:v>
                </c:pt>
                <c:pt idx="6">
                  <c:v>42</c:v>
                </c:pt>
                <c:pt idx="7">
                  <c:v>26</c:v>
                </c:pt>
                <c:pt idx="8">
                  <c:v>69</c:v>
                </c:pt>
                <c:pt idx="9">
                  <c:v>73</c:v>
                </c:pt>
                <c:pt idx="10">
                  <c:v>85</c:v>
                </c:pt>
                <c:pt idx="11">
                  <c:v>68</c:v>
                </c:pt>
                <c:pt idx="12">
                  <c:v>78</c:v>
                </c:pt>
                <c:pt idx="13">
                  <c:v>124</c:v>
                </c:pt>
                <c:pt idx="14">
                  <c:v>90</c:v>
                </c:pt>
                <c:pt idx="15">
                  <c:v>104</c:v>
                </c:pt>
                <c:pt idx="16">
                  <c:v>100</c:v>
                </c:pt>
              </c:numCache>
            </c:numRef>
          </c:val>
        </c:ser>
        <c:ser>
          <c:idx val="3"/>
          <c:order val="3"/>
          <c:tx>
            <c:strRef>
              <c:f>'Production by fields GEO'!$E$3</c:f>
              <c:strCache>
                <c:ptCount val="1"/>
                <c:pt idx="0">
                  <c:v>NAT</c:v>
                </c:pt>
              </c:strCache>
            </c:strRef>
          </c:tx>
          <c:marker>
            <c:symbol val="none"/>
          </c:marker>
          <c:cat>
            <c:strRef>
              <c:f>'Production by fields GEO'!$A$4:$A$20</c:f>
              <c:strCache>
                <c:ptCount val="17"/>
                <c:pt idx="0">
                  <c:v>1996.</c:v>
                </c:pt>
                <c:pt idx="1">
                  <c:v>1997.</c:v>
                </c:pt>
                <c:pt idx="2">
                  <c:v>1998.</c:v>
                </c:pt>
                <c:pt idx="3">
                  <c:v>1999.</c:v>
                </c:pt>
                <c:pt idx="4">
                  <c:v>2000.</c:v>
                </c:pt>
                <c:pt idx="5">
                  <c:v>2001.</c:v>
                </c:pt>
                <c:pt idx="6">
                  <c:v>2002.</c:v>
                </c:pt>
                <c:pt idx="7">
                  <c:v>2003.</c:v>
                </c:pt>
                <c:pt idx="8">
                  <c:v>2004.</c:v>
                </c:pt>
                <c:pt idx="9">
                  <c:v>2005.</c:v>
                </c:pt>
                <c:pt idx="10">
                  <c:v>2006.</c:v>
                </c:pt>
                <c:pt idx="11">
                  <c:v>2007.</c:v>
                </c:pt>
                <c:pt idx="12">
                  <c:v>2008.</c:v>
                </c:pt>
                <c:pt idx="13">
                  <c:v>2009.</c:v>
                </c:pt>
                <c:pt idx="14">
                  <c:v>2010.</c:v>
                </c:pt>
                <c:pt idx="15">
                  <c:v>2011.</c:v>
                </c:pt>
                <c:pt idx="16">
                  <c:v>2012.</c:v>
                </c:pt>
              </c:strCache>
            </c:strRef>
          </c:cat>
          <c:val>
            <c:numRef>
              <c:f>'Production by fields GEO'!$E$4:$E$20</c:f>
              <c:numCache>
                <c:formatCode>General</c:formatCode>
                <c:ptCount val="17"/>
                <c:pt idx="0">
                  <c:v>220</c:v>
                </c:pt>
                <c:pt idx="1">
                  <c:v>239</c:v>
                </c:pt>
                <c:pt idx="2">
                  <c:v>237</c:v>
                </c:pt>
                <c:pt idx="3">
                  <c:v>270</c:v>
                </c:pt>
                <c:pt idx="4">
                  <c:v>249</c:v>
                </c:pt>
                <c:pt idx="5">
                  <c:v>252</c:v>
                </c:pt>
                <c:pt idx="6">
                  <c:v>255</c:v>
                </c:pt>
                <c:pt idx="7">
                  <c:v>232</c:v>
                </c:pt>
                <c:pt idx="8">
                  <c:v>296</c:v>
                </c:pt>
                <c:pt idx="9">
                  <c:v>342</c:v>
                </c:pt>
                <c:pt idx="10">
                  <c:v>412</c:v>
                </c:pt>
                <c:pt idx="11">
                  <c:v>354</c:v>
                </c:pt>
                <c:pt idx="12">
                  <c:v>420</c:v>
                </c:pt>
                <c:pt idx="13">
                  <c:v>459</c:v>
                </c:pt>
                <c:pt idx="14">
                  <c:v>437</c:v>
                </c:pt>
                <c:pt idx="15">
                  <c:v>518</c:v>
                </c:pt>
                <c:pt idx="16">
                  <c:v>623</c:v>
                </c:pt>
              </c:numCache>
            </c:numRef>
          </c:val>
        </c:ser>
        <c:ser>
          <c:idx val="4"/>
          <c:order val="4"/>
          <c:tx>
            <c:strRef>
              <c:f>'Production by fields GEO'!$F$3</c:f>
              <c:strCache>
                <c:ptCount val="1"/>
                <c:pt idx="0">
                  <c:v>SOC</c:v>
                </c:pt>
              </c:strCache>
            </c:strRef>
          </c:tx>
          <c:marker>
            <c:symbol val="none"/>
          </c:marker>
          <c:cat>
            <c:strRef>
              <c:f>'Production by fields GEO'!$A$4:$A$20</c:f>
              <c:strCache>
                <c:ptCount val="17"/>
                <c:pt idx="0">
                  <c:v>1996.</c:v>
                </c:pt>
                <c:pt idx="1">
                  <c:v>1997.</c:v>
                </c:pt>
                <c:pt idx="2">
                  <c:v>1998.</c:v>
                </c:pt>
                <c:pt idx="3">
                  <c:v>1999.</c:v>
                </c:pt>
                <c:pt idx="4">
                  <c:v>2000.</c:v>
                </c:pt>
                <c:pt idx="5">
                  <c:v>2001.</c:v>
                </c:pt>
                <c:pt idx="6">
                  <c:v>2002.</c:v>
                </c:pt>
                <c:pt idx="7">
                  <c:v>2003.</c:v>
                </c:pt>
                <c:pt idx="8">
                  <c:v>2004.</c:v>
                </c:pt>
                <c:pt idx="9">
                  <c:v>2005.</c:v>
                </c:pt>
                <c:pt idx="10">
                  <c:v>2006.</c:v>
                </c:pt>
                <c:pt idx="11">
                  <c:v>2007.</c:v>
                </c:pt>
                <c:pt idx="12">
                  <c:v>2008.</c:v>
                </c:pt>
                <c:pt idx="13">
                  <c:v>2009.</c:v>
                </c:pt>
                <c:pt idx="14">
                  <c:v>2010.</c:v>
                </c:pt>
                <c:pt idx="15">
                  <c:v>2011.</c:v>
                </c:pt>
                <c:pt idx="16">
                  <c:v>2012.</c:v>
                </c:pt>
              </c:strCache>
            </c:strRef>
          </c:cat>
          <c:val>
            <c:numRef>
              <c:f>'Production by fields GEO'!$F$4:$F$20</c:f>
              <c:numCache>
                <c:formatCode>General</c:formatCode>
                <c:ptCount val="17"/>
                <c:pt idx="0">
                  <c:v>10</c:v>
                </c:pt>
                <c:pt idx="1">
                  <c:v>15</c:v>
                </c:pt>
                <c:pt idx="2">
                  <c:v>7</c:v>
                </c:pt>
                <c:pt idx="3">
                  <c:v>6</c:v>
                </c:pt>
                <c:pt idx="4">
                  <c:v>13</c:v>
                </c:pt>
                <c:pt idx="5">
                  <c:v>12</c:v>
                </c:pt>
                <c:pt idx="6">
                  <c:v>8</c:v>
                </c:pt>
                <c:pt idx="7">
                  <c:v>13</c:v>
                </c:pt>
                <c:pt idx="8">
                  <c:v>21</c:v>
                </c:pt>
                <c:pt idx="9">
                  <c:v>26</c:v>
                </c:pt>
                <c:pt idx="10">
                  <c:v>30</c:v>
                </c:pt>
                <c:pt idx="11">
                  <c:v>21</c:v>
                </c:pt>
                <c:pt idx="12">
                  <c:v>20</c:v>
                </c:pt>
                <c:pt idx="13">
                  <c:v>48</c:v>
                </c:pt>
                <c:pt idx="14">
                  <c:v>36</c:v>
                </c:pt>
                <c:pt idx="15">
                  <c:v>32</c:v>
                </c:pt>
                <c:pt idx="16">
                  <c:v>29</c:v>
                </c:pt>
              </c:numCache>
            </c:numRef>
          </c:val>
        </c:ser>
        <c:ser>
          <c:idx val="5"/>
          <c:order val="5"/>
          <c:tx>
            <c:strRef>
              <c:f>'Production by fields GEO'!$G$3</c:f>
              <c:strCache>
                <c:ptCount val="1"/>
                <c:pt idx="0">
                  <c:v>INTDISC</c:v>
                </c:pt>
              </c:strCache>
            </c:strRef>
          </c:tx>
          <c:marker>
            <c:symbol val="none"/>
          </c:marker>
          <c:cat>
            <c:strRef>
              <c:f>'Production by fields GEO'!$A$4:$A$20</c:f>
              <c:strCache>
                <c:ptCount val="17"/>
                <c:pt idx="0">
                  <c:v>1996.</c:v>
                </c:pt>
                <c:pt idx="1">
                  <c:v>1997.</c:v>
                </c:pt>
                <c:pt idx="2">
                  <c:v>1998.</c:v>
                </c:pt>
                <c:pt idx="3">
                  <c:v>1999.</c:v>
                </c:pt>
                <c:pt idx="4">
                  <c:v>2000.</c:v>
                </c:pt>
                <c:pt idx="5">
                  <c:v>2001.</c:v>
                </c:pt>
                <c:pt idx="6">
                  <c:v>2002.</c:v>
                </c:pt>
                <c:pt idx="7">
                  <c:v>2003.</c:v>
                </c:pt>
                <c:pt idx="8">
                  <c:v>2004.</c:v>
                </c:pt>
                <c:pt idx="9">
                  <c:v>2005.</c:v>
                </c:pt>
                <c:pt idx="10">
                  <c:v>2006.</c:v>
                </c:pt>
                <c:pt idx="11">
                  <c:v>2007.</c:v>
                </c:pt>
                <c:pt idx="12">
                  <c:v>2008.</c:v>
                </c:pt>
                <c:pt idx="13">
                  <c:v>2009.</c:v>
                </c:pt>
                <c:pt idx="14">
                  <c:v>2010.</c:v>
                </c:pt>
                <c:pt idx="15">
                  <c:v>2011.</c:v>
                </c:pt>
                <c:pt idx="16">
                  <c:v>2012.</c:v>
                </c:pt>
              </c:strCache>
            </c:strRef>
          </c:cat>
          <c:val>
            <c:numRef>
              <c:f>'Production by fields GEO'!$G$4:$G$20</c:f>
              <c:numCache>
                <c:formatCode>General</c:formatCode>
                <c:ptCount val="17"/>
                <c:pt idx="4">
                  <c:v>1</c:v>
                </c:pt>
                <c:pt idx="5">
                  <c:v>1</c:v>
                </c:pt>
                <c:pt idx="6">
                  <c:v>1</c:v>
                </c:pt>
                <c:pt idx="8">
                  <c:v>4</c:v>
                </c:pt>
                <c:pt idx="9">
                  <c:v>4</c:v>
                </c:pt>
                <c:pt idx="10">
                  <c:v>1</c:v>
                </c:pt>
                <c:pt idx="11">
                  <c:v>2</c:v>
                </c:pt>
                <c:pt idx="12">
                  <c:v>1</c:v>
                </c:pt>
                <c:pt idx="13">
                  <c:v>3</c:v>
                </c:pt>
                <c:pt idx="14">
                  <c:v>5</c:v>
                </c:pt>
                <c:pt idx="15">
                  <c:v>87</c:v>
                </c:pt>
                <c:pt idx="16">
                  <c:v>83</c:v>
                </c:pt>
              </c:numCache>
            </c:numRef>
          </c:val>
        </c:ser>
        <c:marker val="1"/>
        <c:axId val="170436480"/>
        <c:axId val="170438016"/>
      </c:lineChart>
      <c:catAx>
        <c:axId val="170436480"/>
        <c:scaling>
          <c:orientation val="minMax"/>
        </c:scaling>
        <c:axPos val="b"/>
        <c:majorTickMark val="none"/>
        <c:tickLblPos val="nextTo"/>
        <c:txPr>
          <a:bodyPr/>
          <a:lstStyle/>
          <a:p>
            <a:pPr>
              <a:defRPr sz="800"/>
            </a:pPr>
            <a:endParaRPr lang="en-US"/>
          </a:p>
        </c:txPr>
        <c:crossAx val="170438016"/>
        <c:crosses val="autoZero"/>
        <c:auto val="1"/>
        <c:lblAlgn val="ctr"/>
        <c:lblOffset val="100"/>
      </c:catAx>
      <c:valAx>
        <c:axId val="170438016"/>
        <c:scaling>
          <c:orientation val="minMax"/>
        </c:scaling>
        <c:axPos val="l"/>
        <c:majorGridlines/>
        <c:numFmt formatCode="General" sourceLinked="1"/>
        <c:majorTickMark val="none"/>
        <c:tickLblPos val="nextTo"/>
        <c:crossAx val="170436480"/>
        <c:crosses val="autoZero"/>
        <c:crossBetween val="between"/>
      </c:valAx>
    </c:plotArea>
    <c:legend>
      <c:legendPos val="r"/>
    </c:legend>
    <c:plotVisOnly val="1"/>
    <c:dispBlanksAs val="gap"/>
  </c:chart>
  <c:spPr>
    <a:ln>
      <a:noFill/>
    </a:ln>
  </c:sp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n-US"/>
  <c:chart>
    <c:plotArea>
      <c:layout/>
      <c:lineChart>
        <c:grouping val="standard"/>
        <c:ser>
          <c:idx val="0"/>
          <c:order val="0"/>
          <c:tx>
            <c:strRef>
              <c:f>'fields GeO'!$B$120</c:f>
              <c:strCache>
                <c:ptCount val="1"/>
                <c:pt idx="0">
                  <c:v>HUM</c:v>
                </c:pt>
              </c:strCache>
            </c:strRef>
          </c:tx>
          <c:marker>
            <c:symbol val="none"/>
          </c:marker>
          <c:cat>
            <c:numRef>
              <c:f>'fields GeO'!$A$121:$A$138</c:f>
              <c:numCache>
                <c:formatCode>General</c:formatCode>
                <c:ptCount val="18"/>
                <c:pt idx="0">
                  <c:v>1996</c:v>
                </c:pt>
                <c:pt idx="1">
                  <c:v>1997</c:v>
                </c:pt>
                <c:pt idx="2">
                  <c:v>1998</c:v>
                </c:pt>
                <c:pt idx="3">
                  <c:v>1999</c:v>
                </c:pt>
                <c:pt idx="4">
                  <c:v>2000</c:v>
                </c:pt>
                <c:pt idx="5">
                  <c:v>2001</c:v>
                </c:pt>
                <c:pt idx="6">
                  <c:v>2002</c:v>
                </c:pt>
                <c:pt idx="7">
                  <c:v>2003</c:v>
                </c:pt>
                <c:pt idx="8">
                  <c:v>2004</c:v>
                </c:pt>
                <c:pt idx="9">
                  <c:v>2005</c:v>
                </c:pt>
                <c:pt idx="10">
                  <c:v>2007</c:v>
                </c:pt>
                <c:pt idx="11">
                  <c:v>2006</c:v>
                </c:pt>
                <c:pt idx="12">
                  <c:v>2008</c:v>
                </c:pt>
                <c:pt idx="13">
                  <c:v>2009</c:v>
                </c:pt>
                <c:pt idx="14">
                  <c:v>2010</c:v>
                </c:pt>
                <c:pt idx="15">
                  <c:v>2011</c:v>
                </c:pt>
                <c:pt idx="16">
                  <c:v>2012</c:v>
                </c:pt>
                <c:pt idx="17">
                  <c:v>2013</c:v>
                </c:pt>
              </c:numCache>
            </c:numRef>
          </c:cat>
          <c:val>
            <c:numRef>
              <c:f>'fields GeO'!$B$121:$B$138</c:f>
              <c:numCache>
                <c:formatCode>General</c:formatCode>
                <c:ptCount val="18"/>
                <c:pt idx="6">
                  <c:v>5</c:v>
                </c:pt>
                <c:pt idx="7">
                  <c:v>0</c:v>
                </c:pt>
                <c:pt idx="8">
                  <c:v>0</c:v>
                </c:pt>
                <c:pt idx="9">
                  <c:v>0</c:v>
                </c:pt>
                <c:pt idx="10">
                  <c:v>0</c:v>
                </c:pt>
                <c:pt idx="11">
                  <c:v>0</c:v>
                </c:pt>
                <c:pt idx="12">
                  <c:v>9</c:v>
                </c:pt>
                <c:pt idx="13">
                  <c:v>8</c:v>
                </c:pt>
                <c:pt idx="14">
                  <c:v>3</c:v>
                </c:pt>
                <c:pt idx="15">
                  <c:v>5</c:v>
                </c:pt>
                <c:pt idx="16">
                  <c:v>2</c:v>
                </c:pt>
                <c:pt idx="17">
                  <c:v>2</c:v>
                </c:pt>
              </c:numCache>
            </c:numRef>
          </c:val>
        </c:ser>
        <c:ser>
          <c:idx val="1"/>
          <c:order val="1"/>
          <c:tx>
            <c:strRef>
              <c:f>'fields GeO'!$C$120</c:f>
              <c:strCache>
                <c:ptCount val="1"/>
                <c:pt idx="0">
                  <c:v>ENG</c:v>
                </c:pt>
              </c:strCache>
            </c:strRef>
          </c:tx>
          <c:marker>
            <c:symbol val="none"/>
          </c:marker>
          <c:cat>
            <c:numRef>
              <c:f>'fields GeO'!$A$121:$A$138</c:f>
              <c:numCache>
                <c:formatCode>General</c:formatCode>
                <c:ptCount val="18"/>
                <c:pt idx="0">
                  <c:v>1996</c:v>
                </c:pt>
                <c:pt idx="1">
                  <c:v>1997</c:v>
                </c:pt>
                <c:pt idx="2">
                  <c:v>1998</c:v>
                </c:pt>
                <c:pt idx="3">
                  <c:v>1999</c:v>
                </c:pt>
                <c:pt idx="4">
                  <c:v>2000</c:v>
                </c:pt>
                <c:pt idx="5">
                  <c:v>2001</c:v>
                </c:pt>
                <c:pt idx="6">
                  <c:v>2002</c:v>
                </c:pt>
                <c:pt idx="7">
                  <c:v>2003</c:v>
                </c:pt>
                <c:pt idx="8">
                  <c:v>2004</c:v>
                </c:pt>
                <c:pt idx="9">
                  <c:v>2005</c:v>
                </c:pt>
                <c:pt idx="10">
                  <c:v>2007</c:v>
                </c:pt>
                <c:pt idx="11">
                  <c:v>2006</c:v>
                </c:pt>
                <c:pt idx="12">
                  <c:v>2008</c:v>
                </c:pt>
                <c:pt idx="13">
                  <c:v>2009</c:v>
                </c:pt>
                <c:pt idx="14">
                  <c:v>2010</c:v>
                </c:pt>
                <c:pt idx="15">
                  <c:v>2011</c:v>
                </c:pt>
                <c:pt idx="16">
                  <c:v>2012</c:v>
                </c:pt>
                <c:pt idx="17">
                  <c:v>2013</c:v>
                </c:pt>
              </c:numCache>
            </c:numRef>
          </c:cat>
          <c:val>
            <c:numRef>
              <c:f>'fields GeO'!$C$121:$C$138</c:f>
              <c:numCache>
                <c:formatCode>General</c:formatCode>
                <c:ptCount val="18"/>
                <c:pt idx="0">
                  <c:v>43</c:v>
                </c:pt>
                <c:pt idx="1">
                  <c:v>16</c:v>
                </c:pt>
                <c:pt idx="2">
                  <c:v>32</c:v>
                </c:pt>
                <c:pt idx="3">
                  <c:v>34</c:v>
                </c:pt>
                <c:pt idx="4">
                  <c:v>29</c:v>
                </c:pt>
                <c:pt idx="5">
                  <c:v>35</c:v>
                </c:pt>
                <c:pt idx="6">
                  <c:v>38</c:v>
                </c:pt>
                <c:pt idx="7">
                  <c:v>44</c:v>
                </c:pt>
                <c:pt idx="8">
                  <c:v>56</c:v>
                </c:pt>
                <c:pt idx="9">
                  <c:v>48</c:v>
                </c:pt>
                <c:pt idx="10">
                  <c:v>58</c:v>
                </c:pt>
                <c:pt idx="11">
                  <c:v>57</c:v>
                </c:pt>
                <c:pt idx="12">
                  <c:v>39</c:v>
                </c:pt>
                <c:pt idx="13">
                  <c:v>60</c:v>
                </c:pt>
                <c:pt idx="14">
                  <c:v>75</c:v>
                </c:pt>
                <c:pt idx="15">
                  <c:v>62</c:v>
                </c:pt>
                <c:pt idx="16">
                  <c:v>43</c:v>
                </c:pt>
                <c:pt idx="17">
                  <c:v>61</c:v>
                </c:pt>
              </c:numCache>
            </c:numRef>
          </c:val>
        </c:ser>
        <c:ser>
          <c:idx val="2"/>
          <c:order val="2"/>
          <c:tx>
            <c:strRef>
              <c:f>'fields GeO'!$D$120</c:f>
              <c:strCache>
                <c:ptCount val="1"/>
                <c:pt idx="0">
                  <c:v>MED</c:v>
                </c:pt>
              </c:strCache>
            </c:strRef>
          </c:tx>
          <c:marker>
            <c:symbol val="none"/>
          </c:marker>
          <c:cat>
            <c:numRef>
              <c:f>'fields GeO'!$A$121:$A$138</c:f>
              <c:numCache>
                <c:formatCode>General</c:formatCode>
                <c:ptCount val="18"/>
                <c:pt idx="0">
                  <c:v>1996</c:v>
                </c:pt>
                <c:pt idx="1">
                  <c:v>1997</c:v>
                </c:pt>
                <c:pt idx="2">
                  <c:v>1998</c:v>
                </c:pt>
                <c:pt idx="3">
                  <c:v>1999</c:v>
                </c:pt>
                <c:pt idx="4">
                  <c:v>2000</c:v>
                </c:pt>
                <c:pt idx="5">
                  <c:v>2001</c:v>
                </c:pt>
                <c:pt idx="6">
                  <c:v>2002</c:v>
                </c:pt>
                <c:pt idx="7">
                  <c:v>2003</c:v>
                </c:pt>
                <c:pt idx="8">
                  <c:v>2004</c:v>
                </c:pt>
                <c:pt idx="9">
                  <c:v>2005</c:v>
                </c:pt>
                <c:pt idx="10">
                  <c:v>2007</c:v>
                </c:pt>
                <c:pt idx="11">
                  <c:v>2006</c:v>
                </c:pt>
                <c:pt idx="12">
                  <c:v>2008</c:v>
                </c:pt>
                <c:pt idx="13">
                  <c:v>2009</c:v>
                </c:pt>
                <c:pt idx="14">
                  <c:v>2010</c:v>
                </c:pt>
                <c:pt idx="15">
                  <c:v>2011</c:v>
                </c:pt>
                <c:pt idx="16">
                  <c:v>2012</c:v>
                </c:pt>
                <c:pt idx="17">
                  <c:v>2013</c:v>
                </c:pt>
              </c:numCache>
            </c:numRef>
          </c:cat>
          <c:val>
            <c:numRef>
              <c:f>'fields GeO'!$D$121:$D$138</c:f>
              <c:numCache>
                <c:formatCode>General</c:formatCode>
                <c:ptCount val="18"/>
                <c:pt idx="0">
                  <c:v>14</c:v>
                </c:pt>
                <c:pt idx="1">
                  <c:v>14</c:v>
                </c:pt>
                <c:pt idx="2">
                  <c:v>15</c:v>
                </c:pt>
                <c:pt idx="3">
                  <c:v>27</c:v>
                </c:pt>
                <c:pt idx="4">
                  <c:v>34</c:v>
                </c:pt>
                <c:pt idx="5">
                  <c:v>29</c:v>
                </c:pt>
                <c:pt idx="6">
                  <c:v>35</c:v>
                </c:pt>
                <c:pt idx="7">
                  <c:v>40</c:v>
                </c:pt>
                <c:pt idx="8">
                  <c:v>64</c:v>
                </c:pt>
                <c:pt idx="9">
                  <c:v>64</c:v>
                </c:pt>
                <c:pt idx="10">
                  <c:v>41</c:v>
                </c:pt>
                <c:pt idx="11">
                  <c:v>74</c:v>
                </c:pt>
                <c:pt idx="12">
                  <c:v>45</c:v>
                </c:pt>
                <c:pt idx="13">
                  <c:v>66</c:v>
                </c:pt>
                <c:pt idx="14">
                  <c:v>55</c:v>
                </c:pt>
                <c:pt idx="15">
                  <c:v>83</c:v>
                </c:pt>
                <c:pt idx="16">
                  <c:v>83</c:v>
                </c:pt>
                <c:pt idx="17">
                  <c:v>93</c:v>
                </c:pt>
              </c:numCache>
            </c:numRef>
          </c:val>
        </c:ser>
        <c:ser>
          <c:idx val="3"/>
          <c:order val="3"/>
          <c:tx>
            <c:strRef>
              <c:f>'fields GeO'!$E$120</c:f>
              <c:strCache>
                <c:ptCount val="1"/>
                <c:pt idx="0">
                  <c:v>NAT</c:v>
                </c:pt>
              </c:strCache>
            </c:strRef>
          </c:tx>
          <c:marker>
            <c:symbol val="none"/>
          </c:marker>
          <c:cat>
            <c:numRef>
              <c:f>'fields GeO'!$A$121:$A$138</c:f>
              <c:numCache>
                <c:formatCode>General</c:formatCode>
                <c:ptCount val="18"/>
                <c:pt idx="0">
                  <c:v>1996</c:v>
                </c:pt>
                <c:pt idx="1">
                  <c:v>1997</c:v>
                </c:pt>
                <c:pt idx="2">
                  <c:v>1998</c:v>
                </c:pt>
                <c:pt idx="3">
                  <c:v>1999</c:v>
                </c:pt>
                <c:pt idx="4">
                  <c:v>2000</c:v>
                </c:pt>
                <c:pt idx="5">
                  <c:v>2001</c:v>
                </c:pt>
                <c:pt idx="6">
                  <c:v>2002</c:v>
                </c:pt>
                <c:pt idx="7">
                  <c:v>2003</c:v>
                </c:pt>
                <c:pt idx="8">
                  <c:v>2004</c:v>
                </c:pt>
                <c:pt idx="9">
                  <c:v>2005</c:v>
                </c:pt>
                <c:pt idx="10">
                  <c:v>2007</c:v>
                </c:pt>
                <c:pt idx="11">
                  <c:v>2006</c:v>
                </c:pt>
                <c:pt idx="12">
                  <c:v>2008</c:v>
                </c:pt>
                <c:pt idx="13">
                  <c:v>2009</c:v>
                </c:pt>
                <c:pt idx="14">
                  <c:v>2010</c:v>
                </c:pt>
                <c:pt idx="15">
                  <c:v>2011</c:v>
                </c:pt>
                <c:pt idx="16">
                  <c:v>2012</c:v>
                </c:pt>
                <c:pt idx="17">
                  <c:v>2013</c:v>
                </c:pt>
              </c:numCache>
            </c:numRef>
          </c:cat>
          <c:val>
            <c:numRef>
              <c:f>'fields GeO'!$E$121:$E$138</c:f>
              <c:numCache>
                <c:formatCode>General</c:formatCode>
                <c:ptCount val="18"/>
                <c:pt idx="0">
                  <c:v>187</c:v>
                </c:pt>
                <c:pt idx="1">
                  <c:v>229</c:v>
                </c:pt>
                <c:pt idx="2">
                  <c:v>206</c:v>
                </c:pt>
                <c:pt idx="3">
                  <c:v>233</c:v>
                </c:pt>
                <c:pt idx="4">
                  <c:v>240</c:v>
                </c:pt>
                <c:pt idx="5">
                  <c:v>202</c:v>
                </c:pt>
                <c:pt idx="6">
                  <c:v>253</c:v>
                </c:pt>
                <c:pt idx="7">
                  <c:v>226</c:v>
                </c:pt>
                <c:pt idx="8">
                  <c:v>258</c:v>
                </c:pt>
                <c:pt idx="9">
                  <c:v>270</c:v>
                </c:pt>
                <c:pt idx="10">
                  <c:v>300</c:v>
                </c:pt>
                <c:pt idx="11">
                  <c:v>313</c:v>
                </c:pt>
                <c:pt idx="12">
                  <c:v>343</c:v>
                </c:pt>
                <c:pt idx="13">
                  <c:v>315</c:v>
                </c:pt>
                <c:pt idx="14">
                  <c:v>330</c:v>
                </c:pt>
                <c:pt idx="15">
                  <c:v>461</c:v>
                </c:pt>
                <c:pt idx="16">
                  <c:v>578</c:v>
                </c:pt>
                <c:pt idx="17">
                  <c:v>501</c:v>
                </c:pt>
              </c:numCache>
            </c:numRef>
          </c:val>
        </c:ser>
        <c:ser>
          <c:idx val="4"/>
          <c:order val="4"/>
          <c:tx>
            <c:strRef>
              <c:f>'fields GeO'!$F$120</c:f>
              <c:strCache>
                <c:ptCount val="1"/>
                <c:pt idx="0">
                  <c:v>SOC</c:v>
                </c:pt>
              </c:strCache>
            </c:strRef>
          </c:tx>
          <c:marker>
            <c:symbol val="none"/>
          </c:marker>
          <c:cat>
            <c:numRef>
              <c:f>'fields GeO'!$A$121:$A$138</c:f>
              <c:numCache>
                <c:formatCode>General</c:formatCode>
                <c:ptCount val="18"/>
                <c:pt idx="0">
                  <c:v>1996</c:v>
                </c:pt>
                <c:pt idx="1">
                  <c:v>1997</c:v>
                </c:pt>
                <c:pt idx="2">
                  <c:v>1998</c:v>
                </c:pt>
                <c:pt idx="3">
                  <c:v>1999</c:v>
                </c:pt>
                <c:pt idx="4">
                  <c:v>2000</c:v>
                </c:pt>
                <c:pt idx="5">
                  <c:v>2001</c:v>
                </c:pt>
                <c:pt idx="6">
                  <c:v>2002</c:v>
                </c:pt>
                <c:pt idx="7">
                  <c:v>2003</c:v>
                </c:pt>
                <c:pt idx="8">
                  <c:v>2004</c:v>
                </c:pt>
                <c:pt idx="9">
                  <c:v>2005</c:v>
                </c:pt>
                <c:pt idx="10">
                  <c:v>2007</c:v>
                </c:pt>
                <c:pt idx="11">
                  <c:v>2006</c:v>
                </c:pt>
                <c:pt idx="12">
                  <c:v>2008</c:v>
                </c:pt>
                <c:pt idx="13">
                  <c:v>2009</c:v>
                </c:pt>
                <c:pt idx="14">
                  <c:v>2010</c:v>
                </c:pt>
                <c:pt idx="15">
                  <c:v>2011</c:v>
                </c:pt>
                <c:pt idx="16">
                  <c:v>2012</c:v>
                </c:pt>
                <c:pt idx="17">
                  <c:v>2013</c:v>
                </c:pt>
              </c:numCache>
            </c:numRef>
          </c:cat>
          <c:val>
            <c:numRef>
              <c:f>'fields GeO'!$F$121:$F$138</c:f>
              <c:numCache>
                <c:formatCode>General</c:formatCode>
                <c:ptCount val="18"/>
                <c:pt idx="0">
                  <c:v>5</c:v>
                </c:pt>
                <c:pt idx="1">
                  <c:v>0</c:v>
                </c:pt>
                <c:pt idx="2">
                  <c:v>0</c:v>
                </c:pt>
                <c:pt idx="3">
                  <c:v>0</c:v>
                </c:pt>
                <c:pt idx="4">
                  <c:v>4</c:v>
                </c:pt>
                <c:pt idx="5">
                  <c:v>2</c:v>
                </c:pt>
                <c:pt idx="6">
                  <c:v>5</c:v>
                </c:pt>
                <c:pt idx="7">
                  <c:v>4</c:v>
                </c:pt>
                <c:pt idx="8">
                  <c:v>2</c:v>
                </c:pt>
                <c:pt idx="9">
                  <c:v>0</c:v>
                </c:pt>
                <c:pt idx="10">
                  <c:v>2</c:v>
                </c:pt>
                <c:pt idx="11">
                  <c:v>6</c:v>
                </c:pt>
                <c:pt idx="12">
                  <c:v>9</c:v>
                </c:pt>
                <c:pt idx="13">
                  <c:v>11</c:v>
                </c:pt>
                <c:pt idx="14">
                  <c:v>16</c:v>
                </c:pt>
                <c:pt idx="15">
                  <c:v>5</c:v>
                </c:pt>
                <c:pt idx="16">
                  <c:v>7</c:v>
                </c:pt>
                <c:pt idx="17">
                  <c:v>12</c:v>
                </c:pt>
              </c:numCache>
            </c:numRef>
          </c:val>
        </c:ser>
        <c:ser>
          <c:idx val="5"/>
          <c:order val="5"/>
          <c:tx>
            <c:strRef>
              <c:f>'fields GeO'!$G$120</c:f>
              <c:strCache>
                <c:ptCount val="1"/>
                <c:pt idx="0">
                  <c:v>AGR</c:v>
                </c:pt>
              </c:strCache>
            </c:strRef>
          </c:tx>
          <c:marker>
            <c:symbol val="none"/>
          </c:marker>
          <c:cat>
            <c:numRef>
              <c:f>'fields GeO'!$A$121:$A$138</c:f>
              <c:numCache>
                <c:formatCode>General</c:formatCode>
                <c:ptCount val="18"/>
                <c:pt idx="0">
                  <c:v>1996</c:v>
                </c:pt>
                <c:pt idx="1">
                  <c:v>1997</c:v>
                </c:pt>
                <c:pt idx="2">
                  <c:v>1998</c:v>
                </c:pt>
                <c:pt idx="3">
                  <c:v>1999</c:v>
                </c:pt>
                <c:pt idx="4">
                  <c:v>2000</c:v>
                </c:pt>
                <c:pt idx="5">
                  <c:v>2001</c:v>
                </c:pt>
                <c:pt idx="6">
                  <c:v>2002</c:v>
                </c:pt>
                <c:pt idx="7">
                  <c:v>2003</c:v>
                </c:pt>
                <c:pt idx="8">
                  <c:v>2004</c:v>
                </c:pt>
                <c:pt idx="9">
                  <c:v>2005</c:v>
                </c:pt>
                <c:pt idx="10">
                  <c:v>2007</c:v>
                </c:pt>
                <c:pt idx="11">
                  <c:v>2006</c:v>
                </c:pt>
                <c:pt idx="12">
                  <c:v>2008</c:v>
                </c:pt>
                <c:pt idx="13">
                  <c:v>2009</c:v>
                </c:pt>
                <c:pt idx="14">
                  <c:v>2010</c:v>
                </c:pt>
                <c:pt idx="15">
                  <c:v>2011</c:v>
                </c:pt>
                <c:pt idx="16">
                  <c:v>2012</c:v>
                </c:pt>
                <c:pt idx="17">
                  <c:v>2013</c:v>
                </c:pt>
              </c:numCache>
            </c:numRef>
          </c:cat>
          <c:val>
            <c:numRef>
              <c:f>'fields GeO'!$G$121:$G$138</c:f>
              <c:numCache>
                <c:formatCode>General</c:formatCode>
                <c:ptCount val="18"/>
                <c:pt idx="0">
                  <c:v>2</c:v>
                </c:pt>
                <c:pt idx="1">
                  <c:v>0</c:v>
                </c:pt>
                <c:pt idx="2">
                  <c:v>0</c:v>
                </c:pt>
                <c:pt idx="3">
                  <c:v>2</c:v>
                </c:pt>
                <c:pt idx="4">
                  <c:v>0</c:v>
                </c:pt>
                <c:pt idx="5">
                  <c:v>5</c:v>
                </c:pt>
                <c:pt idx="6">
                  <c:v>0</c:v>
                </c:pt>
                <c:pt idx="7">
                  <c:v>2</c:v>
                </c:pt>
                <c:pt idx="8">
                  <c:v>2</c:v>
                </c:pt>
                <c:pt idx="9">
                  <c:v>5</c:v>
                </c:pt>
                <c:pt idx="10">
                  <c:v>5</c:v>
                </c:pt>
                <c:pt idx="11">
                  <c:v>5</c:v>
                </c:pt>
                <c:pt idx="12">
                  <c:v>0</c:v>
                </c:pt>
                <c:pt idx="13">
                  <c:v>4</c:v>
                </c:pt>
                <c:pt idx="14">
                  <c:v>4</c:v>
                </c:pt>
                <c:pt idx="15">
                  <c:v>6</c:v>
                </c:pt>
                <c:pt idx="16">
                  <c:v>8</c:v>
                </c:pt>
                <c:pt idx="17">
                  <c:v>9</c:v>
                </c:pt>
              </c:numCache>
            </c:numRef>
          </c:val>
        </c:ser>
        <c:marker val="1"/>
        <c:axId val="170947712"/>
        <c:axId val="170949248"/>
      </c:lineChart>
      <c:catAx>
        <c:axId val="170947712"/>
        <c:scaling>
          <c:orientation val="minMax"/>
        </c:scaling>
        <c:axPos val="b"/>
        <c:numFmt formatCode="General" sourceLinked="1"/>
        <c:tickLblPos val="nextTo"/>
        <c:txPr>
          <a:bodyPr/>
          <a:lstStyle/>
          <a:p>
            <a:pPr>
              <a:defRPr sz="900"/>
            </a:pPr>
            <a:endParaRPr lang="en-US"/>
          </a:p>
        </c:txPr>
        <c:crossAx val="170949248"/>
        <c:crosses val="autoZero"/>
        <c:auto val="1"/>
        <c:lblAlgn val="ctr"/>
        <c:lblOffset val="100"/>
      </c:catAx>
      <c:valAx>
        <c:axId val="170949248"/>
        <c:scaling>
          <c:orientation val="minMax"/>
        </c:scaling>
        <c:axPos val="l"/>
        <c:majorGridlines/>
        <c:numFmt formatCode="General" sourceLinked="1"/>
        <c:tickLblPos val="nextTo"/>
        <c:crossAx val="170947712"/>
        <c:crosses val="autoZero"/>
        <c:crossBetween val="between"/>
      </c:valAx>
    </c:plotArea>
    <c:plotVisOnly val="1"/>
    <c:dispBlanksAs val="gap"/>
  </c:chart>
  <c:spPr>
    <a:ln>
      <a:noFill/>
    </a:ln>
  </c:spPr>
  <c:externalData r:id="rId1"/>
</c:chartSpace>
</file>

<file path=word/drawings/drawing1.xml><?xml version="1.0" encoding="utf-8"?>
<c:userShapes xmlns:c="http://schemas.openxmlformats.org/drawingml/2006/chart">
  <cdr:relSizeAnchor xmlns:cdr="http://schemas.openxmlformats.org/drawingml/2006/chartDrawing">
    <cdr:from>
      <cdr:x>0.13667</cdr:x>
      <cdr:y>0.45737</cdr:y>
    </cdr:from>
    <cdr:to>
      <cdr:x>1</cdr:x>
      <cdr:y>0.4657</cdr:y>
    </cdr:to>
    <cdr:cxnSp macro="">
      <cdr:nvCxnSpPr>
        <cdr:cNvPr id="3" name="Straight Connector 2"/>
        <cdr:cNvCxnSpPr/>
      </cdr:nvCxnSpPr>
      <cdr:spPr>
        <a:xfrm xmlns:a="http://schemas.openxmlformats.org/drawingml/2006/main" flipV="1">
          <a:off x="381162" y="934023"/>
          <a:ext cx="2407758" cy="17011"/>
        </a:xfrm>
        <a:prstGeom xmlns:a="http://schemas.openxmlformats.org/drawingml/2006/main" prst="line">
          <a:avLst/>
        </a:prstGeom>
        <a:ln xmlns:a="http://schemas.openxmlformats.org/drawingml/2006/main" w="25400">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0.16678</cdr:x>
      <cdr:y>0.39722</cdr:y>
    </cdr:from>
    <cdr:to>
      <cdr:x>0.7218</cdr:x>
      <cdr:y>0.48611</cdr:y>
    </cdr:to>
    <cdr:sp macro="" textlink="">
      <cdr:nvSpPr>
        <cdr:cNvPr id="4" name="Text Box 3"/>
        <cdr:cNvSpPr txBox="1"/>
      </cdr:nvSpPr>
      <cdr:spPr>
        <a:xfrm xmlns:a="http://schemas.openxmlformats.org/drawingml/2006/main">
          <a:off x="465136" y="811187"/>
          <a:ext cx="1547906" cy="18152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t>World average CI</a:t>
          </a:r>
        </a:p>
      </cdr:txBody>
    </cdr:sp>
  </cdr:relSizeAnchor>
</c:userShapes>
</file>

<file path=word/drawings/drawing2.xml><?xml version="1.0" encoding="utf-8"?>
<c:userShapes xmlns:c="http://schemas.openxmlformats.org/drawingml/2006/chart">
  <cdr:relSizeAnchor xmlns:cdr="http://schemas.openxmlformats.org/drawingml/2006/chartDrawing">
    <cdr:from>
      <cdr:x>0.11333</cdr:x>
      <cdr:y>0.4567</cdr:y>
    </cdr:from>
    <cdr:to>
      <cdr:x>0.95885</cdr:x>
      <cdr:y>0.45962</cdr:y>
    </cdr:to>
    <cdr:cxnSp macro="">
      <cdr:nvCxnSpPr>
        <cdr:cNvPr id="3" name="Straight Connector 2"/>
        <cdr:cNvCxnSpPr/>
      </cdr:nvCxnSpPr>
      <cdr:spPr>
        <a:xfrm xmlns:a="http://schemas.openxmlformats.org/drawingml/2006/main" flipV="1">
          <a:off x="352339" y="842167"/>
          <a:ext cx="2628687" cy="5384"/>
        </a:xfrm>
        <a:prstGeom xmlns:a="http://schemas.openxmlformats.org/drawingml/2006/main" prst="line">
          <a:avLst/>
        </a:prstGeom>
        <a:ln xmlns:a="http://schemas.openxmlformats.org/drawingml/2006/main" w="25400">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0.16206</cdr:x>
      <cdr:y>0.38611</cdr:y>
    </cdr:from>
    <cdr:to>
      <cdr:x>0.65807</cdr:x>
      <cdr:y>0.51111</cdr:y>
    </cdr:to>
    <cdr:sp macro="" textlink="">
      <cdr:nvSpPr>
        <cdr:cNvPr id="2" name="Text Box 1"/>
        <cdr:cNvSpPr txBox="1"/>
      </cdr:nvSpPr>
      <cdr:spPr>
        <a:xfrm xmlns:a="http://schemas.openxmlformats.org/drawingml/2006/main">
          <a:off x="503838" y="712002"/>
          <a:ext cx="1542075" cy="23050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t>World average CI</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EE442AE9-7FCA-4A27-937C-E4540346F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56</Pages>
  <Words>16430</Words>
  <Characters>93653</Characters>
  <Application>Microsoft Office Word</Application>
  <DocSecurity>0</DocSecurity>
  <Lines>780</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109864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Tamar Bregvadze</dc:creator>
  <cp:lastModifiedBy>user</cp:lastModifiedBy>
  <cp:revision>2</cp:revision>
  <dcterms:created xsi:type="dcterms:W3CDTF">2014-08-01T13:45:00Z</dcterms:created>
  <dcterms:modified xsi:type="dcterms:W3CDTF">2014-08-01T13:45:00Z</dcterms:modified>
</cp:coreProperties>
</file>